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DA" w:rsidRDefault="002755DA">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关于深化科技体制机制改革</w:t>
      </w:r>
    </w:p>
    <w:p w:rsidR="002755DA" w:rsidRDefault="002755DA">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推动高质量发展的实施意见</w:t>
      </w:r>
    </w:p>
    <w:p w:rsidR="002755DA" w:rsidRDefault="002755DA">
      <w:pPr>
        <w:spacing w:line="560" w:lineRule="exact"/>
        <w:jc w:val="center"/>
        <w:rPr>
          <w:rFonts w:ascii="方正楷体简体" w:eastAsia="方正楷体简体" w:hAnsi="方正楷体简体" w:cs="方正楷体简体"/>
          <w:sz w:val="36"/>
          <w:szCs w:val="36"/>
        </w:rPr>
      </w:pPr>
    </w:p>
    <w:p w:rsidR="002755DA" w:rsidRPr="00BA7EDE" w:rsidRDefault="002755DA">
      <w:pPr>
        <w:spacing w:line="560" w:lineRule="exact"/>
        <w:jc w:val="center"/>
        <w:rPr>
          <w:rFonts w:ascii="方正楷体简体" w:eastAsia="方正楷体简体" w:hAnsi="方正楷体简体" w:cs="方正楷体简体"/>
          <w:sz w:val="32"/>
          <w:szCs w:val="32"/>
        </w:rPr>
      </w:pPr>
      <w:r w:rsidRPr="00BA7EDE">
        <w:rPr>
          <w:rFonts w:ascii="方正楷体简体" w:eastAsia="方正楷体简体" w:hAnsi="方正楷体简体" w:cs="方正楷体简体" w:hint="eastAsia"/>
          <w:sz w:val="32"/>
          <w:szCs w:val="32"/>
        </w:rPr>
        <w:t>（征求意见稿）</w:t>
      </w:r>
    </w:p>
    <w:p w:rsidR="002755DA" w:rsidRDefault="002755DA">
      <w:pPr>
        <w:spacing w:line="560" w:lineRule="exact"/>
        <w:jc w:val="center"/>
        <w:rPr>
          <w:rFonts w:ascii="Times New Roman" w:eastAsia="方正仿宋简体" w:hAnsi="Times New Roman"/>
          <w:sz w:val="32"/>
          <w:szCs w:val="32"/>
        </w:rPr>
      </w:pPr>
    </w:p>
    <w:p w:rsidR="002755DA" w:rsidRDefault="002755DA" w:rsidP="00E718EA">
      <w:pPr>
        <w:spacing w:line="560" w:lineRule="exact"/>
        <w:ind w:firstLineChars="200" w:firstLine="31680"/>
        <w:rPr>
          <w:rFonts w:ascii="Times New Roman" w:eastAsia="方正仿宋简体" w:hAnsi="Times New Roman"/>
          <w:sz w:val="32"/>
          <w:szCs w:val="32"/>
        </w:rPr>
      </w:pPr>
      <w:r>
        <w:rPr>
          <w:rFonts w:ascii="Times New Roman" w:eastAsia="方正仿宋简体" w:hAnsi="Times New Roman" w:hint="eastAsia"/>
          <w:sz w:val="32"/>
          <w:szCs w:val="32"/>
        </w:rPr>
        <w:t>为深入贯彻习总书记视察徐州重要讲话精神，全面落实省委、省政府关于深化科技体制机制改革、推动高质量发展的系列决策部署，全力推动以科技创新为核心、产业创新为重点、体制机制创新为保障的全面创新，营造大众创业、万众创新的政策环境和制度环境，现提出如下实施意见。</w:t>
      </w:r>
    </w:p>
    <w:p w:rsidR="002755DA" w:rsidRDefault="002755DA" w:rsidP="00E718EA">
      <w:pPr>
        <w:numPr>
          <w:ilvl w:val="0"/>
          <w:numId w:val="1"/>
        </w:numPr>
        <w:spacing w:line="560" w:lineRule="exact"/>
        <w:ind w:firstLineChars="195" w:firstLine="31680"/>
        <w:rPr>
          <w:rFonts w:ascii="Times New Roman" w:eastAsia="方正黑体简体" w:hAnsi="Times New Roman"/>
          <w:sz w:val="32"/>
          <w:szCs w:val="32"/>
        </w:rPr>
      </w:pPr>
      <w:r>
        <w:rPr>
          <w:rFonts w:ascii="Times New Roman" w:eastAsia="方正黑体简体" w:hAnsi="Times New Roman" w:hint="eastAsia"/>
          <w:sz w:val="32"/>
          <w:szCs w:val="32"/>
        </w:rPr>
        <w:t>指导思想和主要目标</w:t>
      </w:r>
    </w:p>
    <w:p w:rsidR="002755DA" w:rsidRDefault="002755DA" w:rsidP="00E718EA">
      <w:pPr>
        <w:numPr>
          <w:ilvl w:val="0"/>
          <w:numId w:val="2"/>
        </w:numPr>
        <w:spacing w:line="560" w:lineRule="exact"/>
        <w:ind w:firstLineChars="198" w:firstLine="31680"/>
        <w:rPr>
          <w:rFonts w:ascii="Times New Roman" w:eastAsia="方正仿宋简体" w:hAnsi="Times New Roman"/>
          <w:sz w:val="32"/>
          <w:szCs w:val="32"/>
        </w:rPr>
      </w:pPr>
      <w:r>
        <w:rPr>
          <w:rFonts w:ascii="Times New Roman" w:eastAsia="方正楷体简体" w:hAnsi="Times New Roman" w:hint="eastAsia"/>
          <w:sz w:val="32"/>
          <w:szCs w:val="32"/>
        </w:rPr>
        <w:t>指导思想。</w:t>
      </w:r>
      <w:r>
        <w:rPr>
          <w:rFonts w:ascii="Times New Roman" w:eastAsia="方正仿宋简体" w:hAnsi="Times New Roman" w:hint="eastAsia"/>
          <w:sz w:val="32"/>
          <w:szCs w:val="32"/>
        </w:rPr>
        <w:t>以习近平新时代中国特色社会主义思想为指导，全面贯彻党的十九大精神，深入践行新发展理念，大力实施创新驱动发展战略，以制度创新促进科技创新，进一步健全知识创新、技术创新和管理创新体系，增强科技创新在供给侧结构性改革中的基础、关键和引领作用，激发全社会创新潜能，为我市建设淮海经济区中心城市、在全省高质量发展进程中走在前列提供有力支撑。</w:t>
      </w:r>
    </w:p>
    <w:p w:rsidR="002755DA" w:rsidRDefault="002755DA" w:rsidP="00E718EA">
      <w:pPr>
        <w:spacing w:line="560" w:lineRule="exact"/>
        <w:ind w:firstLineChars="200" w:firstLine="31680"/>
        <w:rPr>
          <w:rFonts w:ascii="Times New Roman" w:eastAsia="方正黑体简体" w:hAnsi="Times New Roman"/>
          <w:sz w:val="32"/>
          <w:szCs w:val="32"/>
        </w:rPr>
      </w:pPr>
      <w:r>
        <w:rPr>
          <w:rFonts w:ascii="Times New Roman" w:eastAsia="方正楷体简体" w:hAnsi="Times New Roman" w:hint="eastAsia"/>
          <w:sz w:val="32"/>
          <w:szCs w:val="32"/>
        </w:rPr>
        <w:t>（二）主要目标。</w:t>
      </w:r>
      <w:r>
        <w:rPr>
          <w:rFonts w:ascii="Times New Roman" w:eastAsia="方正仿宋简体" w:hAnsi="Times New Roman" w:hint="eastAsia"/>
          <w:sz w:val="32"/>
          <w:szCs w:val="32"/>
        </w:rPr>
        <w:t>全社会研发投入占生产总值比重、高新技术产业产值占规模以上工业产值比重、万人发明专利拥有量、省级以上创新平台数量等主要科技指标增幅均高于全省平均水平、淮海经济区领先。科技创新体系更加完善，科技与经济结合更加紧密，科技创新人才作用更好发挥，科技创新成果更多转化，产业链、创新链、资金链、政策链有机衔接，创新环境更加优化，科技创新引领支撑高质量发展能力显著增强，国家创新型城市和国家知识产权示范市建设走在全国前列。</w:t>
      </w:r>
      <w:r>
        <w:rPr>
          <w:rFonts w:ascii="Times New Roman" w:eastAsia="方正仿宋简体" w:hAnsi="Times New Roman"/>
          <w:sz w:val="32"/>
          <w:szCs w:val="32"/>
        </w:rPr>
        <w:br/>
      </w:r>
      <w:r>
        <w:rPr>
          <w:rFonts w:ascii="Times New Roman" w:eastAsia="方正黑体简体" w:hAnsi="Times New Roman" w:hint="eastAsia"/>
          <w:sz w:val="32"/>
          <w:szCs w:val="32"/>
        </w:rPr>
        <w:t xml:space="preserve">　　二、改革科研管理体制机制</w:t>
      </w:r>
    </w:p>
    <w:p w:rsidR="002755DA" w:rsidRDefault="002755DA" w:rsidP="00E718EA">
      <w:pPr>
        <w:spacing w:line="560" w:lineRule="exact"/>
        <w:ind w:firstLineChars="200" w:firstLine="31680"/>
        <w:rPr>
          <w:rFonts w:ascii="Times New Roman" w:eastAsia="方正楷体简体" w:hAnsi="Times New Roman"/>
          <w:sz w:val="32"/>
          <w:szCs w:val="32"/>
        </w:rPr>
      </w:pPr>
      <w:r>
        <w:rPr>
          <w:rFonts w:ascii="Times New Roman" w:eastAsia="方正楷体简体" w:hAnsi="Times New Roman" w:hint="eastAsia"/>
          <w:sz w:val="32"/>
          <w:szCs w:val="32"/>
        </w:rPr>
        <w:t>（一）深化科技计划管理改革</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1</w:t>
      </w:r>
      <w:r>
        <w:rPr>
          <w:rFonts w:ascii="Times New Roman" w:eastAsia="方正楷体简体" w:hAnsi="Times New Roman" w:hint="eastAsia"/>
          <w:sz w:val="32"/>
          <w:szCs w:val="32"/>
        </w:rPr>
        <w:t>、转变政府科研管理职能。</w:t>
      </w:r>
      <w:r>
        <w:rPr>
          <w:rFonts w:ascii="Times New Roman" w:eastAsia="方正仿宋简体" w:hAnsi="Times New Roman" w:hint="eastAsia"/>
          <w:kern w:val="0"/>
          <w:sz w:val="32"/>
          <w:szCs w:val="32"/>
          <w:shd w:val="clear" w:color="auto" w:fill="FFFFFF"/>
        </w:rPr>
        <w:t>围绕使市场在资源配置中起决定性作用和更好发挥政府作用，进一步简政放权，编制科技管理责任清单、权力清单，完善监管机制，实现政府科技职能从研发管理向创新服务的根本转变。建立</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互联网</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科技服务</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新模式，为各类创新主体提供方便快捷的公共服务。建设高水平科技智库，加强知识产权评议、专利导航等科技决策咨询，建立由技术专家、企业家、科研人员和政府部门等共同参与的科技决策及论证机制，提升重大科技决策的科学性。（责任单位：市科技局、市发改委、市经信委）</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2</w:t>
      </w:r>
      <w:r>
        <w:rPr>
          <w:rFonts w:ascii="Times New Roman" w:eastAsia="方正楷体简体" w:hAnsi="Times New Roman" w:hint="eastAsia"/>
          <w:sz w:val="32"/>
          <w:szCs w:val="32"/>
        </w:rPr>
        <w:t>、发挥财政支持科技创新的重要作用。</w:t>
      </w:r>
      <w:r>
        <w:rPr>
          <w:rFonts w:ascii="Times New Roman" w:eastAsia="方正仿宋简体" w:hAnsi="Times New Roman" w:hint="eastAsia"/>
          <w:kern w:val="0"/>
          <w:sz w:val="32"/>
          <w:szCs w:val="32"/>
          <w:shd w:val="clear" w:color="auto" w:fill="FFFFFF"/>
        </w:rPr>
        <w:t>坚持近期与长远相结合、应用基础与产业研发相结合、公益性和市场化相结合，统筹兼顾，提高财政科技资金使用效益。市级推动科技创新专项资金主要按照应用基础研究、重点研发计划、科技成果转化、创新能力建设、政策引导计划分类实施，大幅增加科技供给。充分发挥财政资金杠杆作用，综合运用股权投资、风险补偿、贷款贴息等方式，支持市场导向明确的技术创新活动。建立健全财政科技投入增长机制，</w:t>
      </w:r>
      <w:r>
        <w:rPr>
          <w:rFonts w:ascii="Times New Roman" w:eastAsia="方正仿宋简体" w:hAnsi="Times New Roman"/>
          <w:kern w:val="0"/>
          <w:sz w:val="32"/>
          <w:szCs w:val="32"/>
          <w:shd w:val="clear" w:color="auto" w:fill="FFFFFF"/>
        </w:rPr>
        <w:t>2019-2021</w:t>
      </w:r>
      <w:r>
        <w:rPr>
          <w:rFonts w:ascii="Times New Roman" w:eastAsia="方正仿宋简体" w:hAnsi="Times New Roman" w:hint="eastAsia"/>
          <w:kern w:val="0"/>
          <w:sz w:val="32"/>
          <w:szCs w:val="32"/>
          <w:shd w:val="clear" w:color="auto" w:fill="FFFFFF"/>
        </w:rPr>
        <w:t>年市本级财政科技拨款保持年均</w:t>
      </w:r>
      <w:r>
        <w:rPr>
          <w:rFonts w:ascii="Times New Roman" w:eastAsia="方正仿宋简体" w:hAnsi="Times New Roman"/>
          <w:kern w:val="0"/>
          <w:sz w:val="32"/>
          <w:szCs w:val="32"/>
          <w:shd w:val="clear" w:color="auto" w:fill="FFFFFF"/>
        </w:rPr>
        <w:t>12%</w:t>
      </w:r>
      <w:r>
        <w:rPr>
          <w:rFonts w:ascii="Times New Roman" w:eastAsia="方正仿宋简体" w:hAnsi="Times New Roman" w:hint="eastAsia"/>
          <w:kern w:val="0"/>
          <w:sz w:val="32"/>
          <w:szCs w:val="32"/>
          <w:shd w:val="clear" w:color="auto" w:fill="FFFFFF"/>
        </w:rPr>
        <w:t>以上增幅，省级以上高新区财政科技拨款保持年均</w:t>
      </w:r>
      <w:r>
        <w:rPr>
          <w:rFonts w:ascii="Times New Roman" w:eastAsia="方正仿宋简体" w:hAnsi="Times New Roman"/>
          <w:kern w:val="0"/>
          <w:sz w:val="32"/>
          <w:szCs w:val="32"/>
          <w:shd w:val="clear" w:color="auto" w:fill="FFFFFF"/>
        </w:rPr>
        <w:t>14%</w:t>
      </w:r>
      <w:r>
        <w:rPr>
          <w:rFonts w:ascii="Times New Roman" w:eastAsia="方正仿宋简体" w:hAnsi="Times New Roman" w:hint="eastAsia"/>
          <w:kern w:val="0"/>
          <w:sz w:val="32"/>
          <w:szCs w:val="32"/>
          <w:shd w:val="clear" w:color="auto" w:fill="FFFFFF"/>
        </w:rPr>
        <w:t>以上增幅。（责任单位：市科技局、市财政局、市发改委）</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3</w:t>
      </w:r>
      <w:r>
        <w:rPr>
          <w:rFonts w:ascii="Times New Roman" w:eastAsia="方正楷体简体" w:hAnsi="Times New Roman" w:hint="eastAsia"/>
          <w:sz w:val="32"/>
          <w:szCs w:val="32"/>
        </w:rPr>
        <w:t>、创新项目生成和管理机制。</w:t>
      </w:r>
      <w:r>
        <w:rPr>
          <w:rFonts w:ascii="Times New Roman" w:eastAsia="方正仿宋简体" w:hAnsi="Times New Roman" w:hint="eastAsia"/>
          <w:kern w:val="0"/>
          <w:sz w:val="32"/>
          <w:szCs w:val="32"/>
          <w:shd w:val="clear" w:color="auto" w:fill="FFFFFF"/>
        </w:rPr>
        <w:t>转变政府科技管理职能，逐步由政府直接管理项目转变为第三方专业机构管理项目，切实提高科技资源配置质量效率和市场化、专业化水平。完善项目指南制定和发布机制，规范项目立项程序，加强项目验收和结题审查，实施项目全过程痕迹管理，实现项目管理全过程可申诉、可查询、可追溯。改进专家遴选制度，优化评审专家结构，扩大企业家、风险投资人、金融机构和行业协会专家参与市场导向类项目评估评审的比重；实行评审专家轮换、调整机制和回避制度，强化专家自律，确保评审公平公正。（责任单位：市科技局、市财政局）</w:t>
      </w:r>
    </w:p>
    <w:p w:rsidR="002755DA" w:rsidRDefault="002755DA" w:rsidP="00E718EA">
      <w:pPr>
        <w:spacing w:line="560" w:lineRule="exact"/>
        <w:ind w:firstLineChars="200" w:firstLine="31680"/>
        <w:rPr>
          <w:rFonts w:ascii="Times New Roman" w:eastAsia="方正楷体简体" w:hAnsi="Times New Roman"/>
          <w:sz w:val="32"/>
          <w:szCs w:val="32"/>
        </w:rPr>
      </w:pPr>
      <w:r>
        <w:rPr>
          <w:rFonts w:ascii="Times New Roman" w:eastAsia="方正楷体简体" w:hAnsi="Times New Roman" w:hint="eastAsia"/>
          <w:sz w:val="32"/>
          <w:szCs w:val="32"/>
        </w:rPr>
        <w:t>（二）完善激励与约束相结合的科研资金管理制度</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4</w:t>
      </w:r>
      <w:r>
        <w:rPr>
          <w:rFonts w:ascii="Times New Roman" w:eastAsia="方正楷体简体" w:hAnsi="Times New Roman" w:hint="eastAsia"/>
          <w:sz w:val="32"/>
          <w:szCs w:val="32"/>
        </w:rPr>
        <w:t>、改革市级财政科研项目预算编制方式。</w:t>
      </w:r>
      <w:r>
        <w:rPr>
          <w:rFonts w:ascii="Times New Roman" w:eastAsia="方正仿宋简体" w:hAnsi="Times New Roman" w:hint="eastAsia"/>
          <w:kern w:val="0"/>
          <w:sz w:val="32"/>
          <w:szCs w:val="32"/>
          <w:shd w:val="clear" w:color="auto" w:fill="FFFFFF"/>
        </w:rPr>
        <w:t>遵循科研活动规律和特点，精简管理流程，实行综合预算编制管理，优化市级科研项目预算编制科目。将直接费用中的预算科目缩减归并为设备费、材料费</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测试化验加工费</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燃料动力费、差旅费</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会议费</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国际合作与交流费、劳务费</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专家咨询费以及其他支出等五类，将间接费用中的预算科目调整为管理费和绩效支出两类。编制上述科目预算只需测算总额。（责任单位：市财政局、市科技局）</w:t>
      </w:r>
    </w:p>
    <w:p w:rsidR="002755DA" w:rsidRDefault="002755DA" w:rsidP="00E718EA">
      <w:pPr>
        <w:spacing w:line="560" w:lineRule="exact"/>
        <w:ind w:firstLineChars="200" w:firstLine="31680"/>
        <w:rPr>
          <w:rFonts w:ascii="Times New Roman" w:eastAsia="方正楷体简体" w:hAnsi="Times New Roman"/>
          <w:sz w:val="32"/>
          <w:szCs w:val="32"/>
        </w:rPr>
      </w:pPr>
      <w:r>
        <w:rPr>
          <w:rFonts w:ascii="Times New Roman" w:eastAsia="方正楷体简体" w:hAnsi="Times New Roman"/>
          <w:sz w:val="32"/>
          <w:szCs w:val="32"/>
        </w:rPr>
        <w:t>5</w:t>
      </w:r>
      <w:r>
        <w:rPr>
          <w:rFonts w:ascii="Times New Roman" w:eastAsia="方正楷体简体" w:hAnsi="Times New Roman" w:hint="eastAsia"/>
          <w:sz w:val="32"/>
          <w:szCs w:val="32"/>
        </w:rPr>
        <w:t>、下放科研经费部分预算调剂权和使用自主权。</w:t>
      </w:r>
      <w:r>
        <w:rPr>
          <w:rFonts w:ascii="Times New Roman" w:eastAsia="方正仿宋简体" w:hAnsi="Times New Roman" w:hint="eastAsia"/>
          <w:kern w:val="0"/>
          <w:sz w:val="32"/>
          <w:szCs w:val="32"/>
          <w:shd w:val="clear" w:color="auto" w:fill="FFFFFF"/>
        </w:rPr>
        <w:t>实施项目法人责任制，在市级科研项目总预算不变的情况下，项目负责人可根据科研活动实际需要自主调整直接费用全部科目的经费支出；项目实施期间，项目负责人可按规定自主组建科研团队，并结合项目实施进展情况进行相应调整；可在预算范围内自主安排经费开支；在不降低研究目标的前提下可自主调整研究方案和技术路线。上述安排和调整报项目承担单位办理手续后，均可作为项目验收（结题）、评估评审或审计监察等依据。高校院所等事业单位可根据科研活动需要，自主选择固定岗位、短期聘用、第三方外包等多种形式，聘用科研财务助理为科研项目实施提供经费管理和使用服务，其服务费用可在单位日常运转经费、相应科研项目劳务费或间接费用中列支。（责任单位：市财政局、市科技局、市审计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6</w:t>
      </w:r>
      <w:r>
        <w:rPr>
          <w:rFonts w:ascii="Times New Roman" w:eastAsia="方正楷体简体" w:hAnsi="Times New Roman" w:hint="eastAsia"/>
          <w:sz w:val="32"/>
          <w:szCs w:val="32"/>
        </w:rPr>
        <w:t>、加大项目绩效激励力度。</w:t>
      </w:r>
      <w:r>
        <w:rPr>
          <w:rFonts w:ascii="Times New Roman" w:eastAsia="方正仿宋简体" w:hAnsi="Times New Roman" w:hint="eastAsia"/>
          <w:kern w:val="0"/>
          <w:sz w:val="32"/>
          <w:szCs w:val="32"/>
          <w:shd w:val="clear" w:color="auto" w:fill="FFFFFF"/>
        </w:rPr>
        <w:t>与高校院所等事业单位签订劳动合同的编制外人员工资性支出、参与科研项目的退休返聘人员费用可在市级科研项目劳务费中列支；因项目需要，项目承担单位邀请国内外专家、学者和有关人员参加其主办的会议，交通费、国际旅费可在会议费等费用中列支。项目承担单位在统筹安排间接费用时，绩效支出安排应与科研人员在项目工作中的实际贡献挂钩。对全时全职承担重大技术攻关、成果转化或平台建设任务的项目负责人实行年薪制，年薪所需经费允许在项目经费中列支并单独核算，在本单位绩效工资总量中单列，单位当年绩效工资总量相应增加。项目承担单位应在项目立项时与市有关部门确定人员名单和年薪标准，并报市财政、人力资源部门备案。（责任单位：市科技局、市财政局、市人社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7</w:t>
      </w:r>
      <w:r>
        <w:rPr>
          <w:rFonts w:ascii="Times New Roman" w:eastAsia="方正楷体简体" w:hAnsi="Times New Roman" w:hint="eastAsia"/>
          <w:sz w:val="32"/>
          <w:szCs w:val="32"/>
        </w:rPr>
        <w:t>、改进项目资金采购和留用处理方式。</w:t>
      </w:r>
      <w:r>
        <w:rPr>
          <w:rFonts w:ascii="Times New Roman" w:eastAsia="方正仿宋简体" w:hAnsi="Times New Roman" w:hint="eastAsia"/>
          <w:kern w:val="0"/>
          <w:sz w:val="32"/>
          <w:szCs w:val="32"/>
          <w:shd w:val="clear" w:color="auto" w:fill="FFFFFF"/>
        </w:rPr>
        <w:t>加快市级科研项目资金拨付进度，简化拨付程序。高校院所等事业单位使用市级科研项目经费购买通用货物或服务，可不受自行采购限额标准限制，采购结束后报市财政部门备案。对高校院所等事业单位科研急需的设备和耗材，采用特事特办、随到随办的采购机制，可不进行招标程序，缩短采购周期；对于独家代理或生产的仪器设备，按程序确定采取单一来源采购等方式增强采购灵活性和便利性。市级科研项目年度剩余资金可结转下年使用，项目完成任务目标通过验收（结题）后，结余资金可留归项目组用于后续科研活动直接支出或由项目承担单位统筹用于科研活动直接支出。（责任单位：市财政局、市科技局）</w:t>
      </w:r>
    </w:p>
    <w:p w:rsidR="002755DA" w:rsidRDefault="002755DA" w:rsidP="00E718EA">
      <w:pPr>
        <w:spacing w:line="560" w:lineRule="exact"/>
        <w:ind w:firstLineChars="200" w:firstLine="31680"/>
        <w:rPr>
          <w:rFonts w:ascii="Times New Roman" w:eastAsia="方正楷体简体" w:hAnsi="Times New Roman"/>
          <w:sz w:val="32"/>
          <w:szCs w:val="32"/>
        </w:rPr>
      </w:pPr>
      <w:r>
        <w:rPr>
          <w:rFonts w:ascii="Times New Roman" w:eastAsia="方正楷体简体" w:hAnsi="Times New Roman" w:hint="eastAsia"/>
          <w:sz w:val="32"/>
          <w:szCs w:val="32"/>
        </w:rPr>
        <w:t>（三）改进和完善科研项目绩效评价</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8</w:t>
      </w:r>
      <w:r>
        <w:rPr>
          <w:rFonts w:ascii="Times New Roman" w:eastAsia="方正楷体简体" w:hAnsi="Times New Roman" w:hint="eastAsia"/>
          <w:sz w:val="32"/>
          <w:szCs w:val="32"/>
        </w:rPr>
        <w:t>、完善项目过程管理和评价验收。</w:t>
      </w:r>
      <w:r>
        <w:rPr>
          <w:rFonts w:ascii="Times New Roman" w:eastAsia="方正仿宋简体" w:hAnsi="Times New Roman" w:hint="eastAsia"/>
          <w:kern w:val="0"/>
          <w:sz w:val="32"/>
          <w:szCs w:val="32"/>
          <w:shd w:val="clear" w:color="auto" w:fill="FFFFFF"/>
        </w:rPr>
        <w:t>以项目产出和实际贡献为导向，推动项目从过程管理向效果管理转变，从层级管理向自我管理转变。市级科技计划项目实施周期内，一般不开展现场检查，由项目承担单位按规定将项目年度执行情况报市有关部门备案。研究制定验收评价办法，采取同行评议为主的评价方式，依据任务书和合同书开展综合绩效评价，突出代表性成果和项目实施产生的经济社会效益。提高财政科研经费使用透明度，项目承担单位应制定完善管理制度，在一定范围内公开资金使用情况。优化项目审计规程，参照省相关规定，对会计师事务所出具的市级科研项目财务审计报告或结论，市有关部门可以直接使用。（责任单位：市科技局、市财政局、市审计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9</w:t>
      </w:r>
      <w:r>
        <w:rPr>
          <w:rFonts w:ascii="Times New Roman" w:eastAsia="方正楷体简体" w:hAnsi="Times New Roman" w:hint="eastAsia"/>
          <w:sz w:val="32"/>
          <w:szCs w:val="32"/>
        </w:rPr>
        <w:t>、完善科研诚信承诺制度。</w:t>
      </w:r>
      <w:r>
        <w:rPr>
          <w:rFonts w:ascii="Times New Roman" w:eastAsia="方正仿宋简体" w:hAnsi="Times New Roman" w:hint="eastAsia"/>
          <w:kern w:val="0"/>
          <w:sz w:val="32"/>
          <w:szCs w:val="32"/>
          <w:shd w:val="clear" w:color="auto" w:fill="FFFFFF"/>
        </w:rPr>
        <w:t>推进科研诚信建设，加强科研活动全流程诚信管理，在科技计划项目和科研经费使用等工作中全面推行科研诚信承诺制度，相关承担单位以及参与实施的科技人员应签署科研诚信承诺书，对科研过程、科研成果等的真实性、完整性负主体责任。依法依规对违背科研诚信行为实行终身追究，一经发现，随时调查处理。（责任单位：市科技局、市经信委）</w:t>
      </w:r>
    </w:p>
    <w:p w:rsidR="002755DA" w:rsidRDefault="002755DA" w:rsidP="00E718EA">
      <w:pPr>
        <w:spacing w:line="560" w:lineRule="exact"/>
        <w:ind w:firstLineChars="200" w:firstLine="31680"/>
        <w:rPr>
          <w:rFonts w:ascii="Times New Roman" w:eastAsia="方正黑体简体" w:hAnsi="Times New Roman"/>
          <w:sz w:val="32"/>
          <w:szCs w:val="32"/>
        </w:rPr>
      </w:pPr>
      <w:r>
        <w:rPr>
          <w:rFonts w:ascii="Times New Roman" w:eastAsia="方正黑体简体" w:hAnsi="Times New Roman" w:hint="eastAsia"/>
          <w:sz w:val="32"/>
          <w:szCs w:val="32"/>
        </w:rPr>
        <w:t>三、激发高校院所创新活力</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kern w:val="0"/>
          <w:sz w:val="32"/>
          <w:szCs w:val="32"/>
          <w:shd w:val="clear" w:color="auto" w:fill="FFFFFF"/>
        </w:rPr>
        <w:t>（四）赋予科研机构更大科研管理权</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10</w:t>
      </w:r>
      <w:r>
        <w:rPr>
          <w:rFonts w:ascii="Times New Roman" w:eastAsia="方正楷体简体" w:hAnsi="Times New Roman" w:hint="eastAsia"/>
          <w:kern w:val="0"/>
          <w:sz w:val="32"/>
          <w:szCs w:val="32"/>
          <w:shd w:val="clear" w:color="auto" w:fill="FFFFFF"/>
        </w:rPr>
        <w:t>、保障和落实用人自主权。</w:t>
      </w:r>
      <w:r>
        <w:rPr>
          <w:rFonts w:ascii="Times New Roman" w:eastAsia="方正仿宋简体" w:hAnsi="Times New Roman" w:hint="eastAsia"/>
          <w:kern w:val="0"/>
          <w:sz w:val="32"/>
          <w:szCs w:val="32"/>
          <w:shd w:val="clear" w:color="auto" w:fill="FFFFFF"/>
        </w:rPr>
        <w:t>市属高校院所等事业单位引进博士等高层次人才或急需紧缺人才，可采用直接考核方式公开招聘。建立事业编制统筹使用机制，市属高校院所等事业单位引进高层次人才或急需紧缺人才，可根据需要由市里调剂事业编制供其周转使用。市属高等学校新聘工程类教师时，应将企业任职经历作为必要条件。在职科研人员基本工资按国家规定执行，绩效工资在核定的总量内自主搞活内部分配。（责任单位：市编办、市人社局、市属高校院所及其主管部门）</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11</w:t>
      </w:r>
      <w:r>
        <w:rPr>
          <w:rFonts w:ascii="Times New Roman" w:eastAsia="方正楷体简体" w:hAnsi="Times New Roman" w:hint="eastAsia"/>
          <w:kern w:val="0"/>
          <w:sz w:val="32"/>
          <w:szCs w:val="32"/>
          <w:shd w:val="clear" w:color="auto" w:fill="FFFFFF"/>
        </w:rPr>
        <w:t>、改进科技人员因公临时出国管理。</w:t>
      </w:r>
      <w:r>
        <w:rPr>
          <w:rFonts w:ascii="Times New Roman" w:eastAsia="方正仿宋简体" w:hAnsi="Times New Roman" w:hint="eastAsia"/>
          <w:kern w:val="0"/>
          <w:sz w:val="32"/>
          <w:szCs w:val="32"/>
          <w:shd w:val="clear" w:color="auto" w:fill="FFFFFF"/>
        </w:rPr>
        <w:t>教学科研人员因公临时出国开展教育教学活动、科学研究、学术访问、出席重要国际学术会议以及执行国际学术组织履职任务等国际学术交流合作，实施导向明确的区别管理，单位和个人出国批次数、团组人数、在外停留天数根据实际需要安排，不纳入国家工作人员因公临时出国批次限量管理范围。对市级科研项目经费中列支的国际合作与交流费用，不纳入高校院所等事业单位“三公”经费统计范围。（责任单位：市外办、市财政局、市属高校院所及其主管部门）</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12</w:t>
      </w:r>
      <w:r>
        <w:rPr>
          <w:rFonts w:ascii="Times New Roman" w:eastAsia="方正楷体简体" w:hAnsi="Times New Roman" w:hint="eastAsia"/>
          <w:kern w:val="0"/>
          <w:sz w:val="32"/>
          <w:szCs w:val="32"/>
          <w:shd w:val="clear" w:color="auto" w:fill="FFFFFF"/>
        </w:rPr>
        <w:t>、推动科教融合发展。</w:t>
      </w:r>
      <w:r>
        <w:rPr>
          <w:rFonts w:ascii="Times New Roman" w:eastAsia="方正仿宋简体" w:hAnsi="Times New Roman" w:hint="eastAsia"/>
          <w:kern w:val="0"/>
          <w:sz w:val="32"/>
          <w:szCs w:val="32"/>
          <w:shd w:val="clear" w:color="auto" w:fill="FFFFFF"/>
        </w:rPr>
        <w:t>市有关主管部门指导高校院所编制五年基本建设规划，对列入规划的科研及辅助用房等基本建设项目，不再审批项目建议书，加快审批项目可行性研究报告。支持高校院所科研人员交流从事</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兼职</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研发或教学，按照有关规定领取报酬。在规定期限内，兼职人员在职称评聘、岗位等级晋升和社会保险等方面与原单位同类人员享有同等待遇，交流期间工作量及取得成果双方互认。允许兼职人员按照有关规定及本人实际贡献参与兼职单位成果转化收益分配，具体比例由双方在规定范围内协商决定。（责任单位：市发改委、市人社局、市规划局、市属高校院所及其主管部门）</w:t>
      </w:r>
    </w:p>
    <w:p w:rsidR="002755DA" w:rsidRDefault="002755DA" w:rsidP="00E718EA">
      <w:pPr>
        <w:spacing w:line="560" w:lineRule="exact"/>
        <w:ind w:firstLineChars="200" w:firstLine="31680"/>
        <w:rPr>
          <w:rFonts w:ascii="Times New Roman" w:eastAsia="方正楷体简体" w:hAnsi="Times New Roman"/>
          <w:sz w:val="32"/>
          <w:szCs w:val="32"/>
        </w:rPr>
      </w:pPr>
      <w:r>
        <w:rPr>
          <w:rFonts w:ascii="Times New Roman" w:eastAsia="方正楷体简体" w:hAnsi="Times New Roman" w:hint="eastAsia"/>
          <w:sz w:val="32"/>
          <w:szCs w:val="32"/>
        </w:rPr>
        <w:t>（五）扩大科研项目自主权</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13</w:t>
      </w:r>
      <w:r>
        <w:rPr>
          <w:rFonts w:ascii="Times New Roman" w:eastAsia="方正楷体简体" w:hAnsi="Times New Roman" w:hint="eastAsia"/>
          <w:kern w:val="0"/>
          <w:sz w:val="32"/>
          <w:szCs w:val="32"/>
          <w:shd w:val="clear" w:color="auto" w:fill="FFFFFF"/>
        </w:rPr>
        <w:t>、允许高校院所科技人员自行支配横向课题经费。</w:t>
      </w:r>
      <w:r>
        <w:rPr>
          <w:rFonts w:ascii="Times New Roman" w:eastAsia="方正仿宋简体" w:hAnsi="Times New Roman" w:hint="eastAsia"/>
          <w:kern w:val="0"/>
          <w:sz w:val="32"/>
          <w:szCs w:val="32"/>
          <w:shd w:val="clear" w:color="auto" w:fill="FFFFFF"/>
        </w:rPr>
        <w:t>市属高校院所等事业单位可根据科研活动实际需要，研究制定横向委托项目经费管理办法，不纳入单位预算，自主确定使用范围和标准及分配方式，并作为评估评审或审计检查等依据。开展横向委托项目所发生的差旅费、出国费、会议费不纳入单位行政经费统计范围，不受零增长限制。（责任单位：市财政局、市审计局、市科技局、市属高校院所及其主管部门）</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14</w:t>
      </w:r>
      <w:r>
        <w:rPr>
          <w:rFonts w:ascii="Times New Roman" w:eastAsia="方正楷体简体" w:hAnsi="Times New Roman" w:hint="eastAsia"/>
          <w:kern w:val="0"/>
          <w:sz w:val="32"/>
          <w:szCs w:val="32"/>
          <w:shd w:val="clear" w:color="auto" w:fill="FFFFFF"/>
        </w:rPr>
        <w:t>、实行横向课题与纵向课题同权。</w:t>
      </w:r>
      <w:r>
        <w:rPr>
          <w:rFonts w:ascii="Times New Roman" w:eastAsia="方正仿宋简体" w:hAnsi="Times New Roman" w:hint="eastAsia"/>
          <w:kern w:val="0"/>
          <w:sz w:val="32"/>
          <w:szCs w:val="32"/>
          <w:shd w:val="clear" w:color="auto" w:fill="FFFFFF"/>
        </w:rPr>
        <w:t>科技人员承担横向委托项目与承担政府科技计划项目，在业绩评价、职称评定中同等对待。横向委托项目合同双方可自主约定成果归属和使用等事项，在不影响国家安全、国家利益和公共利益的前提下，成果可归委托方或科技人员所有。横向委托项目完成后获得的净收入，按合同约定分配，如无合同约定，允许全部留归项目组成员自主分配并依法缴纳所得税。（责任单位：市人社局、市属高校院所及其主管部门）</w:t>
      </w:r>
    </w:p>
    <w:p w:rsidR="002755DA" w:rsidRDefault="002755DA" w:rsidP="00E718EA">
      <w:pPr>
        <w:spacing w:line="560" w:lineRule="exact"/>
        <w:ind w:firstLineChars="200" w:firstLine="31680"/>
        <w:rPr>
          <w:rFonts w:ascii="Times New Roman" w:eastAsia="方正黑体简体" w:hAnsi="Times New Roman"/>
          <w:sz w:val="32"/>
          <w:szCs w:val="32"/>
        </w:rPr>
      </w:pPr>
      <w:r>
        <w:rPr>
          <w:rFonts w:ascii="Times New Roman" w:eastAsia="方正黑体简体" w:hAnsi="Times New Roman" w:hint="eastAsia"/>
          <w:sz w:val="32"/>
          <w:szCs w:val="32"/>
        </w:rPr>
        <w:t>四、推动科技与产业融合发展</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sz w:val="32"/>
          <w:szCs w:val="32"/>
        </w:rPr>
        <w:t>（六）</w:t>
      </w:r>
      <w:r>
        <w:rPr>
          <w:rFonts w:ascii="Times New Roman" w:eastAsia="方正楷体简体" w:hAnsi="Times New Roman" w:hint="eastAsia"/>
          <w:kern w:val="0"/>
          <w:sz w:val="32"/>
          <w:szCs w:val="32"/>
          <w:shd w:val="clear" w:color="auto" w:fill="FFFFFF"/>
        </w:rPr>
        <w:t>完善企业为主体的产业技术创新机制</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 15</w:t>
      </w:r>
      <w:r>
        <w:rPr>
          <w:rFonts w:ascii="Times New Roman" w:eastAsia="方正楷体简体" w:hAnsi="Times New Roman" w:hint="eastAsia"/>
          <w:kern w:val="0"/>
          <w:sz w:val="32"/>
          <w:szCs w:val="32"/>
          <w:shd w:val="clear" w:color="auto" w:fill="FFFFFF"/>
        </w:rPr>
        <w:t>、鼓励企业自主创新。</w:t>
      </w:r>
      <w:r>
        <w:rPr>
          <w:rFonts w:ascii="Times New Roman" w:eastAsia="方正仿宋简体" w:hAnsi="Times New Roman" w:hint="eastAsia"/>
          <w:kern w:val="0"/>
          <w:sz w:val="32"/>
          <w:szCs w:val="32"/>
          <w:shd w:val="clear" w:color="auto" w:fill="FFFFFF"/>
        </w:rPr>
        <w:t>企业自主研发并实施转化的具有自主知识产权的重大科技创新成果，由市科技成果转化专项资金给予同等力度资助。企业开展研发活动实际发生的研发费用，未形成无形资产计入当期损益的，按规定据实扣除后，一定期限内再按照实际发生额的</w:t>
      </w:r>
      <w:r>
        <w:rPr>
          <w:rFonts w:ascii="Times New Roman" w:eastAsia="方正仿宋简体" w:hAnsi="Times New Roman"/>
          <w:kern w:val="0"/>
          <w:sz w:val="32"/>
          <w:szCs w:val="32"/>
          <w:shd w:val="clear" w:color="auto" w:fill="FFFFFF"/>
        </w:rPr>
        <w:t>75%</w:t>
      </w:r>
      <w:r>
        <w:rPr>
          <w:rFonts w:ascii="Times New Roman" w:eastAsia="方正仿宋简体" w:hAnsi="Times New Roman" w:hint="eastAsia"/>
          <w:kern w:val="0"/>
          <w:sz w:val="32"/>
          <w:szCs w:val="32"/>
          <w:shd w:val="clear" w:color="auto" w:fill="FFFFFF"/>
        </w:rPr>
        <w:t>税前加计扣除，形成无形资产的，按照无形资产成本的</w:t>
      </w:r>
      <w:r>
        <w:rPr>
          <w:rFonts w:ascii="Times New Roman" w:eastAsia="方正仿宋简体" w:hAnsi="Times New Roman"/>
          <w:kern w:val="0"/>
          <w:sz w:val="32"/>
          <w:szCs w:val="32"/>
          <w:shd w:val="clear" w:color="auto" w:fill="FFFFFF"/>
        </w:rPr>
        <w:t>175%</w:t>
      </w:r>
      <w:r>
        <w:rPr>
          <w:rFonts w:ascii="Times New Roman" w:eastAsia="方正仿宋简体" w:hAnsi="Times New Roman" w:hint="eastAsia"/>
          <w:kern w:val="0"/>
          <w:sz w:val="32"/>
          <w:szCs w:val="32"/>
          <w:shd w:val="clear" w:color="auto" w:fill="FFFFFF"/>
        </w:rPr>
        <w:t>在税前摊销。企业委托境外机构研发所发生的费用，按照费用实际发生额的</w:t>
      </w:r>
      <w:r>
        <w:rPr>
          <w:rFonts w:ascii="Times New Roman" w:eastAsia="方正仿宋简体" w:hAnsi="Times New Roman"/>
          <w:kern w:val="0"/>
          <w:sz w:val="32"/>
          <w:szCs w:val="32"/>
          <w:shd w:val="clear" w:color="auto" w:fill="FFFFFF"/>
        </w:rPr>
        <w:t>80%</w:t>
      </w:r>
      <w:r>
        <w:rPr>
          <w:rFonts w:ascii="Times New Roman" w:eastAsia="方正仿宋简体" w:hAnsi="Times New Roman" w:hint="eastAsia"/>
          <w:kern w:val="0"/>
          <w:sz w:val="32"/>
          <w:szCs w:val="32"/>
          <w:shd w:val="clear" w:color="auto" w:fill="FFFFFF"/>
        </w:rPr>
        <w:t>计入委托方的委托境外研发费用，委托境外研发费用不超过境内符合条件研发费用三分之二的部分，可按规定在企业所得税前加计扣除。企业引进具有高级技术职称或博士、博士后等高层次人才支付的一次性住房补贴、安家费及科研启动经费，可按规定在税前扣除。（责任单位：市人才办、市科技局、市税务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16</w:t>
      </w:r>
      <w:r>
        <w:rPr>
          <w:rFonts w:ascii="Times New Roman" w:eastAsia="方正楷体简体" w:hAnsi="Times New Roman" w:hint="eastAsia"/>
          <w:kern w:val="0"/>
          <w:sz w:val="32"/>
          <w:szCs w:val="32"/>
          <w:shd w:val="clear" w:color="auto" w:fill="FFFFFF"/>
        </w:rPr>
        <w:t>、实施企业研发费用投入后补助政策。</w:t>
      </w:r>
      <w:r>
        <w:rPr>
          <w:rFonts w:ascii="Times New Roman" w:eastAsia="方正仿宋简体" w:hAnsi="Times New Roman" w:hint="eastAsia"/>
          <w:kern w:val="0"/>
          <w:sz w:val="32"/>
          <w:szCs w:val="32"/>
          <w:shd w:val="clear" w:color="auto" w:fill="FFFFFF"/>
        </w:rPr>
        <w:t>对持续进行研究开发与技术成果转化、提供技术服务或整体解决方案的研发型企业开展认定。市财政对研发投入持续增长的研发型企业按照上年度研发经费支出增长额给予一定奖补。对研发型企业年收入超过</w:t>
      </w:r>
      <w:r>
        <w:rPr>
          <w:rFonts w:ascii="Times New Roman" w:eastAsia="方正仿宋简体" w:hAnsi="Times New Roman"/>
          <w:kern w:val="0"/>
          <w:sz w:val="32"/>
          <w:szCs w:val="32"/>
          <w:shd w:val="clear" w:color="auto" w:fill="FFFFFF"/>
        </w:rPr>
        <w:t>50</w:t>
      </w:r>
      <w:r>
        <w:rPr>
          <w:rFonts w:ascii="Times New Roman" w:eastAsia="方正仿宋简体" w:hAnsi="Times New Roman" w:hint="eastAsia"/>
          <w:kern w:val="0"/>
          <w:sz w:val="32"/>
          <w:szCs w:val="32"/>
          <w:shd w:val="clear" w:color="auto" w:fill="FFFFFF"/>
        </w:rPr>
        <w:t>万元的技术和管理人才，可同时给予奖补。省、市奖补不重复享受。（责任单位：市科技局、市财政局、市税务局、市统计局）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17</w:t>
      </w:r>
      <w:r>
        <w:rPr>
          <w:rFonts w:ascii="Times New Roman" w:eastAsia="方正楷体简体" w:hAnsi="Times New Roman" w:hint="eastAsia"/>
          <w:kern w:val="0"/>
          <w:sz w:val="32"/>
          <w:szCs w:val="32"/>
          <w:shd w:val="clear" w:color="auto" w:fill="FFFFFF"/>
        </w:rPr>
        <w:t>、建立优先使用创新产品和服务的政府采购制度。</w:t>
      </w:r>
      <w:r>
        <w:rPr>
          <w:rFonts w:ascii="Times New Roman" w:eastAsia="方正仿宋简体" w:hAnsi="Times New Roman" w:hint="eastAsia"/>
          <w:kern w:val="0"/>
          <w:sz w:val="32"/>
          <w:szCs w:val="32"/>
          <w:shd w:val="clear" w:color="auto" w:fill="FFFFFF"/>
        </w:rPr>
        <w:t>健全优先使用创新产品的采购政策，有针对性地制定采购标准，降低采购门槛，扩大对中小企业创新产品和服务的采购比例。制定创新产品认定办法，鼓励采取竞争性谈判、竞争性磋商、单一来源采购等非招标方式，通过首购、订购、远期约定购买以及政府购买服务等方式，促进创新产品的研发和规模化应用。完善首台套重大装备保险试点财政支持政策，对符合条件的首台套重大装备投保给予适当的保费补助。（责任单位：市财政局、市科技局）</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sz w:val="32"/>
          <w:szCs w:val="32"/>
        </w:rPr>
        <w:t>（七）</w:t>
      </w:r>
      <w:r>
        <w:rPr>
          <w:rFonts w:ascii="Times New Roman" w:eastAsia="方正楷体简体" w:hAnsi="Times New Roman" w:hint="eastAsia"/>
          <w:kern w:val="0"/>
          <w:sz w:val="32"/>
          <w:szCs w:val="32"/>
          <w:shd w:val="clear" w:color="auto" w:fill="FFFFFF"/>
        </w:rPr>
        <w:t>推进科研载体和创新组织建设</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18</w:t>
      </w:r>
      <w:r>
        <w:rPr>
          <w:rFonts w:ascii="Times New Roman" w:eastAsia="方正楷体简体" w:hAnsi="Times New Roman" w:hint="eastAsia"/>
          <w:kern w:val="0"/>
          <w:sz w:val="32"/>
          <w:szCs w:val="32"/>
          <w:shd w:val="clear" w:color="auto" w:fill="FFFFFF"/>
        </w:rPr>
        <w:t>、加快研发平台载体建设。</w:t>
      </w:r>
      <w:r>
        <w:rPr>
          <w:rFonts w:ascii="Times New Roman" w:eastAsia="方正仿宋简体" w:hAnsi="Times New Roman" w:hint="eastAsia"/>
          <w:kern w:val="0"/>
          <w:sz w:val="32"/>
          <w:szCs w:val="32"/>
          <w:shd w:val="clear" w:color="auto" w:fill="FFFFFF"/>
        </w:rPr>
        <w:t>完善产学研协同创新机制，探索建立全新的运行机制、用人机制、管理机制和激励机制，支持骨干企业与高校院所合作共建工程技术研究中心、重点实验室、企业技术中心、院士工作站和其他研发机构。加强创新资源的统筹整合，支持组建产业技术研究院等新型研发机构，根据绩效评估结果，市财政给予运行奖补。获批建设国家级重点研发平台的，采取“一事一议”方式，市财政给予一定比例资助。（责任单位：市科技局、市财政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19</w:t>
      </w:r>
      <w:r>
        <w:rPr>
          <w:rFonts w:ascii="Times New Roman" w:eastAsia="方正楷体简体" w:hAnsi="Times New Roman" w:hint="eastAsia"/>
          <w:kern w:val="0"/>
          <w:sz w:val="32"/>
          <w:szCs w:val="32"/>
          <w:shd w:val="clear" w:color="auto" w:fill="FFFFFF"/>
        </w:rPr>
        <w:t>、推动科技创新组织建设。</w:t>
      </w:r>
      <w:r>
        <w:rPr>
          <w:rFonts w:ascii="Times New Roman" w:eastAsia="方正仿宋简体" w:hAnsi="Times New Roman" w:hint="eastAsia"/>
          <w:kern w:val="0"/>
          <w:sz w:val="32"/>
          <w:szCs w:val="32"/>
          <w:shd w:val="clear" w:color="auto" w:fill="FFFFFF"/>
        </w:rPr>
        <w:t>鼓励行业骨干企业联合市内外高校院所、企业以及银行等金融机构，运用市场机制，组建以技术标准和专利许可为纽带的产业技术创新战略联盟等协同创新组织，对运作规范、效果突出的联盟给予适当运行经费补贴，允许符合条件的联盟作为项目组织单位参与市级科技计划项目。支持联盟、学会、协会等科技社团组织为科技人员和创业企业提供咨询服务。鼓励社会力量创办科技研发服务机构，实行企业化运营。（责任单位：市科技局、市财政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sz w:val="32"/>
          <w:szCs w:val="32"/>
        </w:rPr>
        <w:t>20</w:t>
      </w:r>
      <w:r>
        <w:rPr>
          <w:rFonts w:ascii="Times New Roman" w:eastAsia="方正楷体简体" w:hAnsi="Times New Roman" w:hint="eastAsia"/>
          <w:sz w:val="32"/>
          <w:szCs w:val="32"/>
        </w:rPr>
        <w:t>、推动科技资源开放共享</w:t>
      </w:r>
      <w:r>
        <w:rPr>
          <w:rFonts w:ascii="Times New Roman" w:eastAsia="方正楷体简体" w:hAnsi="Times New Roman" w:hint="eastAsia"/>
          <w:kern w:val="0"/>
          <w:sz w:val="32"/>
          <w:szCs w:val="32"/>
          <w:shd w:val="clear" w:color="auto" w:fill="FFFFFF"/>
        </w:rPr>
        <w:t>。</w:t>
      </w:r>
      <w:r>
        <w:rPr>
          <w:rFonts w:ascii="Times New Roman" w:eastAsia="方正仿宋简体" w:hAnsi="Times New Roman" w:hint="eastAsia"/>
          <w:kern w:val="0"/>
          <w:sz w:val="32"/>
          <w:szCs w:val="32"/>
          <w:shd w:val="clear" w:color="auto" w:fill="FFFFFF"/>
        </w:rPr>
        <w:t>财政投资建设的科研设施，最大限度地向企业、社会组织和科研人员开放。积极对接融入省大型科学仪器共享服务平台，由财政资金购置的大型科研仪器设备都应入网；鼓励单位自行购置的科研仪器设备入网，享受政策扶持。事业单位通过入网仪器设备共享获得的服务收入，可根据有关规定管理使用。（责任单位：市科技局、市财政局、市属高校院所及其主管部门）</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kern w:val="0"/>
          <w:sz w:val="32"/>
          <w:szCs w:val="32"/>
          <w:shd w:val="clear" w:color="auto" w:fill="FFFFFF"/>
        </w:rPr>
        <w:t>（八）强化成果转化激励</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21</w:t>
      </w:r>
      <w:r>
        <w:rPr>
          <w:rFonts w:ascii="Times New Roman" w:eastAsia="方正楷体简体" w:hAnsi="Times New Roman" w:hint="eastAsia"/>
          <w:kern w:val="0"/>
          <w:sz w:val="32"/>
          <w:szCs w:val="32"/>
          <w:shd w:val="clear" w:color="auto" w:fill="FFFFFF"/>
        </w:rPr>
        <w:t>、下放职务科技成果使用、处置和收益权。</w:t>
      </w:r>
      <w:r>
        <w:rPr>
          <w:rFonts w:ascii="Times New Roman" w:eastAsia="方正仿宋简体" w:hAnsi="Times New Roman" w:hint="eastAsia"/>
          <w:kern w:val="0"/>
          <w:sz w:val="32"/>
          <w:szCs w:val="32"/>
          <w:shd w:val="clear" w:color="auto" w:fill="FFFFFF"/>
        </w:rPr>
        <w:t>利用财政资金设立的高校院所等事业单位职务发明转化收益收入全部留归本单位分配，纳入单位预算，实行统一管理，处置收入不上缴国库，其中，研发团队所得不低于</w:t>
      </w:r>
      <w:r>
        <w:rPr>
          <w:rFonts w:ascii="Times New Roman" w:eastAsia="方正仿宋简体" w:hAnsi="Times New Roman"/>
          <w:kern w:val="0"/>
          <w:sz w:val="32"/>
          <w:szCs w:val="32"/>
          <w:shd w:val="clear" w:color="auto" w:fill="FFFFFF"/>
        </w:rPr>
        <w:t>50%</w:t>
      </w:r>
      <w:r>
        <w:rPr>
          <w:rFonts w:ascii="Times New Roman" w:eastAsia="方正仿宋简体" w:hAnsi="Times New Roman" w:hint="eastAsia"/>
          <w:kern w:val="0"/>
          <w:sz w:val="32"/>
          <w:szCs w:val="32"/>
          <w:shd w:val="clear" w:color="auto" w:fill="FFFFFF"/>
        </w:rPr>
        <w:t>，不纳入单位绩效工资总量。单位主管部门和财政部门对科技成果在境内的使用、处置和收益分配不再审批或备案。职务发明成果在两年内没有实施成果转化时，允许成果完成人（团队）与单位协商自行实施转化，其所得收益按上述办法分配。（责任单位：市财政局、市科技局、市属高校院所及其主管部门）</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22</w:t>
      </w:r>
      <w:r>
        <w:rPr>
          <w:rFonts w:ascii="Times New Roman" w:eastAsia="方正楷体简体" w:hAnsi="Times New Roman" w:hint="eastAsia"/>
          <w:kern w:val="0"/>
          <w:sz w:val="32"/>
          <w:szCs w:val="32"/>
          <w:shd w:val="clear" w:color="auto" w:fill="FFFFFF"/>
        </w:rPr>
        <w:t>、加大科研人员转化激励力度</w:t>
      </w:r>
      <w:r>
        <w:rPr>
          <w:rFonts w:ascii="Times New Roman" w:eastAsia="方正仿宋简体" w:hAnsi="Times New Roman" w:hint="eastAsia"/>
          <w:kern w:val="0"/>
          <w:sz w:val="32"/>
          <w:szCs w:val="32"/>
          <w:shd w:val="clear" w:color="auto" w:fill="FFFFFF"/>
        </w:rPr>
        <w:t>。鼓励各类企业通过股权、期权和分红等激励方式，调动科研人员创新积极性。探索实施国有企业股权激励和员工持股制度，试点市属国有企业对重要科技和管理人员实施股权和期权激励。高新技术企业和科技型中小企业科技人员通过科技成果转化取得股权奖励收入时，可在</w:t>
      </w:r>
      <w:r>
        <w:rPr>
          <w:rFonts w:ascii="Times New Roman" w:eastAsia="方正仿宋简体" w:hAnsi="Times New Roman"/>
          <w:kern w:val="0"/>
          <w:sz w:val="32"/>
          <w:szCs w:val="32"/>
          <w:shd w:val="clear" w:color="auto" w:fill="FFFFFF"/>
        </w:rPr>
        <w:t>5</w:t>
      </w:r>
      <w:r>
        <w:rPr>
          <w:rFonts w:ascii="Times New Roman" w:eastAsia="方正仿宋简体" w:hAnsi="Times New Roman" w:hint="eastAsia"/>
          <w:kern w:val="0"/>
          <w:sz w:val="32"/>
          <w:szCs w:val="32"/>
          <w:shd w:val="clear" w:color="auto" w:fill="FFFFFF"/>
        </w:rPr>
        <w:t>年内分期缴纳个人所得税。（责任单位：市国资委、市金融办、市税务局）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23</w:t>
      </w:r>
      <w:r>
        <w:rPr>
          <w:rFonts w:ascii="Times New Roman" w:eastAsia="方正楷体简体" w:hAnsi="Times New Roman" w:hint="eastAsia"/>
          <w:kern w:val="0"/>
          <w:sz w:val="32"/>
          <w:szCs w:val="32"/>
          <w:shd w:val="clear" w:color="auto" w:fill="FFFFFF"/>
        </w:rPr>
        <w:t>、强化科技人员考核评聘的成果转化导向</w:t>
      </w:r>
      <w:r>
        <w:rPr>
          <w:rFonts w:ascii="Times New Roman" w:eastAsia="方正仿宋简体" w:hAnsi="Times New Roman" w:hint="eastAsia"/>
          <w:kern w:val="0"/>
          <w:sz w:val="32"/>
          <w:szCs w:val="32"/>
          <w:shd w:val="clear" w:color="auto" w:fill="FFFFFF"/>
        </w:rPr>
        <w:t>。改革市属高校院所科研评价制度，对从事应用基础研究、成果转化的进行分类考核评价。在高校院所专业技术职称评聘与岗位考核中，将成果转化应用情况与论文指标要求同等对待，技术转让成交额与纵向项目指标要求同等对待。重大科技成果完成人和为科技成果转化作出突出贡献人员可破格评聘专业技术职称，不受岗位比例限制。（责任单位：市人社局、市属高校院所及其主管部门）</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24</w:t>
      </w:r>
      <w:r>
        <w:rPr>
          <w:rFonts w:ascii="Times New Roman" w:eastAsia="方正楷体简体" w:hAnsi="Times New Roman" w:hint="eastAsia"/>
          <w:kern w:val="0"/>
          <w:sz w:val="32"/>
          <w:szCs w:val="32"/>
          <w:shd w:val="clear" w:color="auto" w:fill="FFFFFF"/>
        </w:rPr>
        <w:t>、构建覆盖淮海经济区的技术产权交易体系。</w:t>
      </w:r>
      <w:r>
        <w:rPr>
          <w:rFonts w:ascii="Times New Roman" w:eastAsia="方正仿宋简体" w:hAnsi="Times New Roman" w:hint="eastAsia"/>
          <w:kern w:val="0"/>
          <w:sz w:val="32"/>
          <w:szCs w:val="32"/>
          <w:shd w:val="clear" w:color="auto" w:fill="FFFFFF"/>
        </w:rPr>
        <w:t>建立面向淮海经济区的技术产权交易市场，加快建设江苏淮海技术产权交易中心线上线下平台，为科技成果转化提供一站式服务。企事业单位承担政府购买服务事项的，依服务内容可签订技术合同，经技术合同认定登记后，享受促进科技成果转化的相关税收和奖励等优惠政策。对经市技术交易市场备案并进行技术合同登记的，交易双方、技术中介机构、技术经纪人等可按技术合同实际成交额给予一定比例奖励。（责任单位：市科技局、市财政局）</w:t>
      </w:r>
    </w:p>
    <w:p w:rsidR="002755DA" w:rsidRDefault="002755DA" w:rsidP="00E718EA">
      <w:pPr>
        <w:spacing w:line="560" w:lineRule="exact"/>
        <w:ind w:firstLineChars="200" w:firstLine="31680"/>
        <w:rPr>
          <w:rFonts w:ascii="Times New Roman" w:eastAsia="方正楷体简体" w:hAnsi="Times New Roman"/>
          <w:sz w:val="32"/>
          <w:szCs w:val="32"/>
        </w:rPr>
      </w:pPr>
      <w:r>
        <w:rPr>
          <w:rFonts w:ascii="Times New Roman" w:eastAsia="方正楷体简体" w:hAnsi="Times New Roman" w:hint="eastAsia"/>
          <w:sz w:val="32"/>
          <w:szCs w:val="32"/>
        </w:rPr>
        <w:t>（九）完善支持人才创新机制</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25</w:t>
      </w:r>
      <w:r>
        <w:rPr>
          <w:rFonts w:ascii="Times New Roman" w:eastAsia="方正楷体简体" w:hAnsi="Times New Roman" w:hint="eastAsia"/>
          <w:kern w:val="0"/>
          <w:sz w:val="32"/>
          <w:szCs w:val="32"/>
          <w:shd w:val="clear" w:color="auto" w:fill="FFFFFF"/>
        </w:rPr>
        <w:t>、加大创新人才引进力度。</w:t>
      </w:r>
      <w:r>
        <w:rPr>
          <w:rFonts w:ascii="Times New Roman" w:eastAsia="方正仿宋简体" w:hAnsi="Times New Roman" w:hint="eastAsia"/>
          <w:kern w:val="0"/>
          <w:sz w:val="32"/>
          <w:szCs w:val="32"/>
          <w:shd w:val="clear" w:color="auto" w:fill="FFFFFF"/>
        </w:rPr>
        <w:t>支持引进国际国内一流或顶尖人才团队，实行</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特事特办、一人一策</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，通过项目资助、创业扶持、贷款贴息等方式，给予每个人才团队</w:t>
      </w:r>
      <w:r>
        <w:rPr>
          <w:rFonts w:ascii="Times New Roman" w:eastAsia="方正仿宋简体" w:hAnsi="Times New Roman"/>
          <w:kern w:val="0"/>
          <w:sz w:val="32"/>
          <w:szCs w:val="32"/>
          <w:shd w:val="clear" w:color="auto" w:fill="FFFFFF"/>
        </w:rPr>
        <w:t>300</w:t>
      </w:r>
      <w:r>
        <w:rPr>
          <w:rFonts w:ascii="Times New Roman" w:eastAsia="方正仿宋简体" w:hAnsi="Times New Roman" w:hint="eastAsia"/>
          <w:kern w:val="0"/>
          <w:sz w:val="32"/>
          <w:szCs w:val="32"/>
          <w:shd w:val="clear" w:color="auto" w:fill="FFFFFF"/>
        </w:rPr>
        <w:t>万元</w:t>
      </w:r>
      <w:r>
        <w:rPr>
          <w:rFonts w:ascii="Times New Roman" w:eastAsia="方正仿宋简体" w:hAnsi="Times New Roman"/>
          <w:kern w:val="0"/>
          <w:sz w:val="32"/>
          <w:szCs w:val="32"/>
          <w:shd w:val="clear" w:color="auto" w:fill="FFFFFF"/>
        </w:rPr>
        <w:t>—1</w:t>
      </w:r>
      <w:r>
        <w:rPr>
          <w:rFonts w:ascii="Times New Roman" w:eastAsia="方正仿宋简体" w:hAnsi="Times New Roman" w:hint="eastAsia"/>
          <w:kern w:val="0"/>
          <w:sz w:val="32"/>
          <w:szCs w:val="32"/>
          <w:shd w:val="clear" w:color="auto" w:fill="FFFFFF"/>
        </w:rPr>
        <w:t>亿元的综合资助。市属高校院所等事业单位引进两院院士、国家杰出青年基金获得者、长江学者、“万人计划”专家等高层次人才支付的薪酬，实行单独分配管理，不纳入所在单位绩效工资核定范围。完善科研人员在事业单位与企业之间流动社保关系转移接续政策。（责任单位：市人才办、市科技局、市财政局、市属高校院所及其主管部门）</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26</w:t>
      </w:r>
      <w:r>
        <w:rPr>
          <w:rFonts w:ascii="Times New Roman" w:eastAsia="方正楷体简体" w:hAnsi="Times New Roman" w:hint="eastAsia"/>
          <w:kern w:val="0"/>
          <w:sz w:val="32"/>
          <w:szCs w:val="32"/>
          <w:shd w:val="clear" w:color="auto" w:fill="FFFFFF"/>
        </w:rPr>
        <w:t>、支持科技领军人才发挥作用。</w:t>
      </w:r>
      <w:r>
        <w:rPr>
          <w:rFonts w:ascii="Times New Roman" w:eastAsia="方正仿宋简体" w:hAnsi="Times New Roman" w:hint="eastAsia"/>
          <w:kern w:val="0"/>
          <w:sz w:val="32"/>
          <w:szCs w:val="32"/>
          <w:shd w:val="clear" w:color="auto" w:fill="FFFFFF"/>
        </w:rPr>
        <w:t>赋予科技领军人才更大的技术路线决策权、人财物支配权和资源调动权。允许科技领军人才自主聘用</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柔性流动</w:t>
      </w:r>
      <w:r>
        <w:rPr>
          <w:rFonts w:ascii="Times New Roman" w:eastAsia="方正仿宋简体" w:hAnsi="Times New Roman"/>
          <w:kern w:val="0"/>
          <w:sz w:val="32"/>
          <w:szCs w:val="32"/>
          <w:shd w:val="clear" w:color="auto" w:fill="FFFFFF"/>
        </w:rPr>
        <w:t>”</w:t>
      </w:r>
      <w:r>
        <w:rPr>
          <w:rFonts w:ascii="Times New Roman" w:eastAsia="方正仿宋简体" w:hAnsi="Times New Roman" w:hint="eastAsia"/>
          <w:kern w:val="0"/>
          <w:sz w:val="32"/>
          <w:szCs w:val="32"/>
          <w:shd w:val="clear" w:color="auto" w:fill="FFFFFF"/>
        </w:rPr>
        <w:t>人员和兼职科研人员，自主组建科研团队。高校院所院士在企业或园区设立工作站，其业绩突出的，根据绩效评估结果由市财政给予奖励。（责任单位：市科技局、市财政局）</w:t>
      </w:r>
    </w:p>
    <w:p w:rsidR="002755DA" w:rsidRDefault="002755DA" w:rsidP="00E718EA">
      <w:pPr>
        <w:spacing w:line="560" w:lineRule="exact"/>
        <w:ind w:firstLineChars="200" w:firstLine="31680"/>
        <w:rPr>
          <w:rFonts w:ascii="Times New Roman" w:eastAsia="方正黑体简体" w:hAnsi="Times New Roman"/>
          <w:sz w:val="32"/>
          <w:szCs w:val="32"/>
        </w:rPr>
      </w:pPr>
      <w:r>
        <w:rPr>
          <w:rFonts w:ascii="Times New Roman" w:eastAsia="方正黑体简体" w:hAnsi="Times New Roman" w:hint="eastAsia"/>
          <w:sz w:val="32"/>
          <w:szCs w:val="32"/>
        </w:rPr>
        <w:t>五、营造良好创新创业生态</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kern w:val="0"/>
          <w:sz w:val="32"/>
          <w:szCs w:val="32"/>
          <w:shd w:val="clear" w:color="auto" w:fill="FFFFFF"/>
        </w:rPr>
        <w:t>（十）强化知识产权创造运用保护</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27</w:t>
      </w:r>
      <w:r>
        <w:rPr>
          <w:rFonts w:ascii="Times New Roman" w:eastAsia="方正楷体简体" w:hAnsi="Times New Roman" w:hint="eastAsia"/>
          <w:kern w:val="0"/>
          <w:sz w:val="32"/>
          <w:szCs w:val="32"/>
          <w:shd w:val="clear" w:color="auto" w:fill="FFFFFF"/>
        </w:rPr>
        <w:t>、加大知识产权创造激励力度。</w:t>
      </w:r>
      <w:r>
        <w:rPr>
          <w:rFonts w:ascii="Times New Roman" w:eastAsia="方正仿宋简体" w:hAnsi="Times New Roman" w:hint="eastAsia"/>
          <w:kern w:val="0"/>
          <w:sz w:val="32"/>
          <w:szCs w:val="32"/>
          <w:shd w:val="clear" w:color="auto" w:fill="FFFFFF"/>
        </w:rPr>
        <w:t>扩大市级知识产权（专利）专项资金规模，对知识产权（专利）创造予以资助奖励。支持开展专利质押融资、专利保险工作，对科技企业以专利权质押方式从银行获得相应贷款的按一定比例给予贴息补助，对于企业投保专利保险的给予一定比例的保费补贴。（责任单位：市知识产权局、市财政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28</w:t>
      </w:r>
      <w:r>
        <w:rPr>
          <w:rFonts w:ascii="Times New Roman" w:eastAsia="方正楷体简体" w:hAnsi="Times New Roman" w:hint="eastAsia"/>
          <w:kern w:val="0"/>
          <w:sz w:val="32"/>
          <w:szCs w:val="32"/>
          <w:shd w:val="clear" w:color="auto" w:fill="FFFFFF"/>
        </w:rPr>
        <w:t>、加快提升专利管理和服务水平。</w:t>
      </w:r>
      <w:r>
        <w:rPr>
          <w:rFonts w:ascii="Times New Roman" w:eastAsia="方正仿宋简体" w:hAnsi="Times New Roman" w:hint="eastAsia"/>
          <w:kern w:val="0"/>
          <w:sz w:val="32"/>
          <w:szCs w:val="32"/>
          <w:shd w:val="clear" w:color="auto" w:fill="FFFFFF"/>
        </w:rPr>
        <w:t>加快专利服务机构建设，对符合条件的代理机构、专利公共服务机构给予一次性奖励，对符合条件的知识产权联盟和专利数据库建设予以资金资助。遴选专利基础较好的企业进行专利优势示范培育，对经认定的专利领航企业、专利小巨人企业、专利密集型企业、知识产权贯标企业以及国家知识产权示范优势企业等给予一次性奖励。（责任单位：市知识产权局、市财政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29</w:t>
      </w:r>
      <w:r>
        <w:rPr>
          <w:rFonts w:ascii="Times New Roman" w:eastAsia="方正楷体简体" w:hAnsi="Times New Roman" w:hint="eastAsia"/>
          <w:kern w:val="0"/>
          <w:sz w:val="32"/>
          <w:szCs w:val="32"/>
          <w:shd w:val="clear" w:color="auto" w:fill="FFFFFF"/>
        </w:rPr>
        <w:t>、实行严格的知识产权保护制度。</w:t>
      </w:r>
      <w:r>
        <w:rPr>
          <w:rFonts w:ascii="Times New Roman" w:eastAsia="方正仿宋简体" w:hAnsi="Times New Roman" w:hint="eastAsia"/>
          <w:kern w:val="0"/>
          <w:sz w:val="32"/>
          <w:szCs w:val="32"/>
          <w:shd w:val="clear" w:color="auto" w:fill="FFFFFF"/>
        </w:rPr>
        <w:t>建立健全知识产权行政执法体系，探索开展知识产权综合行政执法。积极发挥知识产权巡回审理庭作用，强化知识产权行政执法与司法衔接，建立知识产权诉调对接机制。健全知识产权维权援助体系，完善维权中心对执法办案的支持协助机制。加快知识产权系统社会信用体系建设，将专利侵权假冒等信息纳入社会信用记录。（责任单位：市知识产权局、市经信委、市公安局、市法院、市检察院）</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kern w:val="0"/>
          <w:sz w:val="32"/>
          <w:szCs w:val="32"/>
          <w:shd w:val="clear" w:color="auto" w:fill="FFFFFF"/>
        </w:rPr>
        <w:t>（十一）深化科技金融结合</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30</w:t>
      </w:r>
      <w:r>
        <w:rPr>
          <w:rFonts w:ascii="Times New Roman" w:eastAsia="方正楷体简体" w:hAnsi="Times New Roman" w:hint="eastAsia"/>
          <w:kern w:val="0"/>
          <w:sz w:val="32"/>
          <w:szCs w:val="32"/>
          <w:shd w:val="clear" w:color="auto" w:fill="FFFFFF"/>
        </w:rPr>
        <w:t>、拓宽技术创新的间接融资渠道。</w:t>
      </w:r>
      <w:r>
        <w:rPr>
          <w:rFonts w:ascii="Times New Roman" w:eastAsia="方正仿宋简体" w:hAnsi="Times New Roman" w:hint="eastAsia"/>
          <w:kern w:val="0"/>
          <w:sz w:val="32"/>
          <w:szCs w:val="32"/>
          <w:shd w:val="clear" w:color="auto" w:fill="FFFFFF"/>
        </w:rPr>
        <w:t>探索设立徐州市科技型中小企业贷款风险补偿资金和保证保险补偿资金，对合作银行向依法纳税的科技型中小企业发放贷款形成的坏账损失，按比例给予补偿；对申请小额贷款保证保险的科技型中小企业和承保保险公司，分别给予保费补贴和风险补偿。对银行科技信贷的风险损失、科技型中小企业融资担保产生的代偿损失给予补偿，对科技型中小企业购买科技保险产品予以保费资助。（责任单位：市科技局、市金融办、人民银行徐州分行）</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31</w:t>
      </w:r>
      <w:r>
        <w:rPr>
          <w:rFonts w:ascii="Times New Roman" w:eastAsia="方正楷体简体" w:hAnsi="Times New Roman" w:hint="eastAsia"/>
          <w:kern w:val="0"/>
          <w:sz w:val="32"/>
          <w:szCs w:val="32"/>
          <w:shd w:val="clear" w:color="auto" w:fill="FFFFFF"/>
        </w:rPr>
        <w:t>、创新科技金融产品和服务。</w:t>
      </w:r>
      <w:r>
        <w:rPr>
          <w:rFonts w:ascii="Times New Roman" w:eastAsia="方正仿宋简体" w:hAnsi="Times New Roman" w:hint="eastAsia"/>
          <w:kern w:val="0"/>
          <w:sz w:val="32"/>
          <w:szCs w:val="32"/>
          <w:shd w:val="clear" w:color="auto" w:fill="FFFFFF"/>
        </w:rPr>
        <w:t>推动政策性银行对符合条件的企业创新活动加大信贷产品创新力度。探索商业银行为企业创新活动提供股权和债权相结合的融资服务方式，与创业投资机构、保险机构实现投保贷联动。鼓励发展互联网股权众筹、首台（套）产品保险、创业保险、集合债券等新型金融工具，拓宽企业融资渠道。支持知识产权金融发展，深化专利权质押融资工作，建立市场化风险补偿机制，健全第三方专利价值分析评估制度。试点专利保险，加快培育和规范专利保险市场，优化险种运营模式。（责任单位：市科技局、市金融办、人民银行徐州分行）</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32</w:t>
      </w:r>
      <w:r>
        <w:rPr>
          <w:rFonts w:ascii="Times New Roman" w:eastAsia="方正楷体简体" w:hAnsi="Times New Roman" w:hint="eastAsia"/>
          <w:kern w:val="0"/>
          <w:sz w:val="32"/>
          <w:szCs w:val="32"/>
          <w:shd w:val="clear" w:color="auto" w:fill="FFFFFF"/>
        </w:rPr>
        <w:t>、强化资本市场对创新创业的支持。</w:t>
      </w:r>
      <w:r>
        <w:rPr>
          <w:rFonts w:ascii="Times New Roman" w:eastAsia="方正仿宋简体" w:hAnsi="Times New Roman" w:hint="eastAsia"/>
          <w:kern w:val="0"/>
          <w:sz w:val="32"/>
          <w:szCs w:val="32"/>
          <w:shd w:val="clear" w:color="auto" w:fill="FFFFFF"/>
        </w:rPr>
        <w:t>扩大市天使投资引导基金规模，对天使投资机构投资种子期或初创期科技型小微企业，给予相应的风险分担和损失补偿。实施科技型中小企业上市培育计划，引导和鼓励科技型中小企业在中小板、创业板、新三板等多层次资本市场上市、挂牌融资，对成功挂牌上市企业由市县财政按一定比例分别给予相应奖励。探索建立专业化、市场化的知识产权交易机构，探索开展知识产权证券化业务试点。（责任单位：市财政局、市科技局、市发改委、市金融办）</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kern w:val="0"/>
          <w:sz w:val="32"/>
          <w:szCs w:val="32"/>
          <w:shd w:val="clear" w:color="auto" w:fill="FFFFFF"/>
        </w:rPr>
        <w:t>（十二）加强和扩大国际创新合作</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33</w:t>
      </w:r>
      <w:r>
        <w:rPr>
          <w:rFonts w:ascii="Times New Roman" w:eastAsia="方正楷体简体" w:hAnsi="Times New Roman" w:hint="eastAsia"/>
          <w:kern w:val="0"/>
          <w:sz w:val="32"/>
          <w:szCs w:val="32"/>
          <w:shd w:val="clear" w:color="auto" w:fill="FFFFFF"/>
        </w:rPr>
        <w:t>、吸引创新要素跨境流动。</w:t>
      </w:r>
      <w:r>
        <w:rPr>
          <w:rFonts w:ascii="Times New Roman" w:eastAsia="方正仿宋简体" w:hAnsi="Times New Roman" w:hint="eastAsia"/>
          <w:kern w:val="0"/>
          <w:sz w:val="32"/>
          <w:szCs w:val="32"/>
          <w:shd w:val="clear" w:color="auto" w:fill="FFFFFF"/>
        </w:rPr>
        <w:t>推进跨国公司和世界知名研发机构在我市设立独立研发机构，与我市高校院所和科技企业合作成立联合实验室或联合研发中心，发展一批国际科技合作平台和基地，支持我市企业在境外设立、合办或收购的研发机构，经认定评估后，市财政给予运行经费奖补。（责任单位：市科技局、市发改委、市经信委、市财政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34</w:t>
      </w:r>
      <w:r>
        <w:rPr>
          <w:rFonts w:ascii="Times New Roman" w:eastAsia="方正仿宋简体" w:hAnsi="Times New Roman" w:hint="eastAsia"/>
          <w:kern w:val="0"/>
          <w:sz w:val="32"/>
          <w:szCs w:val="32"/>
          <w:shd w:val="clear" w:color="auto" w:fill="FFFFFF"/>
        </w:rPr>
        <w:t>、鼓励国际创新交流与合作。探索以共建合作园、互设分基地和联合成立创投基金等多种方式，引导鼓励市内资本与境外合作设立新型创业孵化平台，引进境外先进创业孵化模式。鼓励外资开展创业投资业务，支持中外合资创业投资机构发展。鼓励创业投资机构加大对境外高端研发项目投资力度，积极分享境外高端技术成果。（责任单位：市科技局、市发改委、市金融办、市财政局）</w:t>
      </w:r>
    </w:p>
    <w:p w:rsidR="002755DA" w:rsidRDefault="002755DA" w:rsidP="00E718EA">
      <w:pPr>
        <w:spacing w:line="560" w:lineRule="exact"/>
        <w:ind w:firstLineChars="200" w:firstLine="31680"/>
        <w:rPr>
          <w:rFonts w:ascii="Times New Roman" w:eastAsia="方正楷体简体" w:hAnsi="Times New Roman"/>
          <w:kern w:val="0"/>
          <w:sz w:val="32"/>
          <w:szCs w:val="32"/>
          <w:shd w:val="clear" w:color="auto" w:fill="FFFFFF"/>
        </w:rPr>
      </w:pPr>
      <w:r>
        <w:rPr>
          <w:rFonts w:ascii="Times New Roman" w:eastAsia="方正楷体简体" w:hAnsi="Times New Roman" w:hint="eastAsia"/>
          <w:kern w:val="0"/>
          <w:sz w:val="32"/>
          <w:szCs w:val="32"/>
          <w:shd w:val="clear" w:color="auto" w:fill="FFFFFF"/>
        </w:rPr>
        <w:t>（十三）健全尽职免责激励创新机制</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35</w:t>
      </w:r>
      <w:r>
        <w:rPr>
          <w:rFonts w:ascii="Times New Roman" w:eastAsia="方正楷体简体" w:hAnsi="Times New Roman" w:hint="eastAsia"/>
          <w:kern w:val="0"/>
          <w:sz w:val="32"/>
          <w:szCs w:val="32"/>
          <w:shd w:val="clear" w:color="auto" w:fill="FFFFFF"/>
        </w:rPr>
        <w:t>、探索建立科技创新补偿援助机制。</w:t>
      </w:r>
      <w:r>
        <w:rPr>
          <w:rFonts w:ascii="Times New Roman" w:eastAsia="方正仿宋简体" w:hAnsi="Times New Roman" w:hint="eastAsia"/>
          <w:kern w:val="0"/>
          <w:sz w:val="32"/>
          <w:szCs w:val="32"/>
          <w:shd w:val="clear" w:color="auto" w:fill="FFFFFF"/>
        </w:rPr>
        <w:t>对因技术路线选择有误、未实现预期目标或失败的市级重大产业技术研发项目，项目承担人员已尽到勤勉和忠实义务的，经组织专家评议，确有重大探索价值的，继续支持其选择不同技术路线开展相关研究。对受市场风险影响、未实现预期目标或失败的市级重大科技成果转化项目，项目承担单位已尽到勤勉和忠实义务的，经组织专家评议，确有重大应用价值的，可采取财政补助、风险补偿、社会资本引入等多种途径，继续支持其开展产业化开发。对创业失败但主要负责人已尽到勤勉和忠实义务、且有继续创业意愿和能力的科技型中小企业，可由地方政府向企业主要负责人发放创业补助，鼓励其持续开展创新创业活动。（责任单位：市科技局、市财政局、市人社局）</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楷体简体" w:hAnsi="Times New Roman"/>
          <w:kern w:val="0"/>
          <w:sz w:val="32"/>
          <w:szCs w:val="32"/>
          <w:shd w:val="clear" w:color="auto" w:fill="FFFFFF"/>
        </w:rPr>
        <w:t>36</w:t>
      </w:r>
      <w:r>
        <w:rPr>
          <w:rFonts w:ascii="Times New Roman" w:eastAsia="方正楷体简体" w:hAnsi="Times New Roman" w:hint="eastAsia"/>
          <w:kern w:val="0"/>
          <w:sz w:val="32"/>
          <w:szCs w:val="32"/>
          <w:shd w:val="clear" w:color="auto" w:fill="FFFFFF"/>
        </w:rPr>
        <w:t>、加快建立科技创新尽职免责机制。</w:t>
      </w:r>
      <w:r>
        <w:rPr>
          <w:rFonts w:ascii="Times New Roman" w:eastAsia="方正仿宋简体" w:hAnsi="Times New Roman" w:hint="eastAsia"/>
          <w:kern w:val="0"/>
          <w:sz w:val="32"/>
          <w:szCs w:val="32"/>
          <w:shd w:val="clear" w:color="auto" w:fill="FFFFFF"/>
        </w:rPr>
        <w:t>鼓励大胆探索，支持各地因地制宜，差异化发展。充分激发全社会创新活力，积极营造崇尚科学、无私奉献的社会氛围，倡导精益求精、追求卓越的工匠精神，弘扬鼓励创新、宽容失败的创新文化。对在科技体制改革和科技创新过程中出现的一些偏差失误，只要不违反党的纪律和国家法律法规，勤勉尽责、未谋私利，能够及时纠错改正的，不作负面评价，免除相关责任或从轻减轻处理。高校院所等事业单位通过淮海技术交易市场挂牌交易、拍卖科技成果，或协议定价成交并在本单位和淮海技术交易市场公示拟交易价格的，单位领导和部门在勤勉尽责、没有谋取非法利益的前提下，免除其在科技成果定价中因科技成果转化后续价值变化产生的决策责任。采取作价入股方式转移转化科技成果，对已勤勉尽责、但发生投资损失的，经审计确认后，主管部门不将其纳入资产增值保值考核范围。对已勤勉尽责、但因技术路线选择失误或其他不可预见原因，导致难以完成市级科研项目预定目标的单位和项目负责人予以免责。对创新创业项目进行经费资助或风险投资，符合规定条件、标准和程序，但资助项目未达到预期发展效果，相关领导干部和部门在勤勉尽责、没有谋取非法利益的前提下，免除其决策责任。（责任单位：市纪委监委）</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hint="eastAsia"/>
          <w:kern w:val="0"/>
          <w:sz w:val="32"/>
          <w:szCs w:val="32"/>
          <w:shd w:val="clear" w:color="auto" w:fill="FFFFFF"/>
        </w:rPr>
        <w:t>市有关部门应根据本规定制定具体操作办法，及时兑现相关政策，涉及财政资金由市本级和县（区）级财政分级承担。市属高校院所应根据本规定制定本单位操作办法，并参照有关条款建立完善单位财务管理和内部控制制度。各县（市）、区要结合实际制定配套政策措施。中央、省在徐单位可参照本规定执行。</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hint="eastAsia"/>
          <w:kern w:val="0"/>
          <w:sz w:val="32"/>
          <w:szCs w:val="32"/>
          <w:shd w:val="clear" w:color="auto" w:fill="FFFFFF"/>
        </w:rPr>
        <w:t>参考文件：</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1</w:t>
      </w:r>
      <w:r>
        <w:rPr>
          <w:rFonts w:ascii="Times New Roman" w:eastAsia="方正仿宋简体" w:hAnsi="Times New Roman" w:hint="eastAsia"/>
          <w:kern w:val="0"/>
          <w:sz w:val="32"/>
          <w:szCs w:val="32"/>
          <w:shd w:val="clear" w:color="auto" w:fill="FFFFFF"/>
        </w:rPr>
        <w:t>、江苏省委省政府关于深化科技体制改革推动高质量发展若干政策（苏发</w:t>
      </w:r>
      <w:r>
        <w:rPr>
          <w:rFonts w:ascii="Times New Roman" w:eastAsia="方正仿宋简体" w:hAnsi="Times New Roman"/>
          <w:kern w:val="0"/>
          <w:sz w:val="32"/>
          <w:szCs w:val="32"/>
          <w:shd w:val="clear" w:color="auto" w:fill="FFFFFF"/>
        </w:rPr>
        <w:t>[2018]18</w:t>
      </w:r>
      <w:r>
        <w:rPr>
          <w:rFonts w:ascii="Times New Roman" w:eastAsia="方正仿宋简体" w:hAnsi="Times New Roman" w:hint="eastAsia"/>
          <w:kern w:val="0"/>
          <w:sz w:val="32"/>
          <w:szCs w:val="32"/>
          <w:shd w:val="clear" w:color="auto" w:fill="FFFFFF"/>
        </w:rPr>
        <w:t>号）</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2</w:t>
      </w:r>
      <w:r>
        <w:rPr>
          <w:rFonts w:ascii="Times New Roman" w:eastAsia="方正仿宋简体" w:hAnsi="Times New Roman" w:hint="eastAsia"/>
          <w:kern w:val="0"/>
          <w:sz w:val="32"/>
          <w:szCs w:val="32"/>
          <w:shd w:val="clear" w:color="auto" w:fill="FFFFFF"/>
        </w:rPr>
        <w:t>、江苏省关于加快推进全省技术转移体系建设的实施意见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3</w:t>
      </w:r>
      <w:r>
        <w:rPr>
          <w:rFonts w:ascii="Times New Roman" w:eastAsia="方正仿宋简体" w:hAnsi="Times New Roman" w:hint="eastAsia"/>
          <w:kern w:val="0"/>
          <w:sz w:val="32"/>
          <w:szCs w:val="32"/>
          <w:shd w:val="clear" w:color="auto" w:fill="FFFFFF"/>
        </w:rPr>
        <w:t>、中华人民共和国促进科技成果转化法</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4</w:t>
      </w:r>
      <w:r>
        <w:rPr>
          <w:rFonts w:ascii="Times New Roman" w:eastAsia="方正仿宋简体" w:hAnsi="Times New Roman" w:hint="eastAsia"/>
          <w:kern w:val="0"/>
          <w:sz w:val="32"/>
          <w:szCs w:val="32"/>
          <w:shd w:val="clear" w:color="auto" w:fill="FFFFFF"/>
        </w:rPr>
        <w:t>、中共中央国务院关于深化体制机制改革加快实施创新驱动发展战略的若干意见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5</w:t>
      </w:r>
      <w:r>
        <w:rPr>
          <w:rFonts w:ascii="Times New Roman" w:eastAsia="方正仿宋简体" w:hAnsi="Times New Roman" w:hint="eastAsia"/>
          <w:kern w:val="0"/>
          <w:sz w:val="32"/>
          <w:szCs w:val="32"/>
          <w:shd w:val="clear" w:color="auto" w:fill="FFFFFF"/>
        </w:rPr>
        <w:t>、国家“十三五”规划</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6</w:t>
      </w:r>
      <w:r>
        <w:rPr>
          <w:rFonts w:ascii="Times New Roman" w:eastAsia="方正仿宋简体" w:hAnsi="Times New Roman" w:hint="eastAsia"/>
          <w:kern w:val="0"/>
          <w:sz w:val="32"/>
          <w:szCs w:val="32"/>
          <w:shd w:val="clear" w:color="auto" w:fill="FFFFFF"/>
        </w:rPr>
        <w:t>、国务院关于深化中央财政科技计划（专项、基金等）管理改革方案</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7</w:t>
      </w:r>
      <w:r>
        <w:rPr>
          <w:rFonts w:ascii="Times New Roman" w:eastAsia="方正仿宋简体" w:hAnsi="Times New Roman" w:hint="eastAsia"/>
          <w:kern w:val="0"/>
          <w:sz w:val="32"/>
          <w:szCs w:val="32"/>
          <w:shd w:val="clear" w:color="auto" w:fill="FFFFFF"/>
        </w:rPr>
        <w:t>、国务院关于优化科研管理提升科研绩效若干措施</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8</w:t>
      </w:r>
      <w:r>
        <w:rPr>
          <w:rFonts w:ascii="Times New Roman" w:eastAsia="方正仿宋简体" w:hAnsi="Times New Roman" w:hint="eastAsia"/>
          <w:kern w:val="0"/>
          <w:sz w:val="32"/>
          <w:szCs w:val="32"/>
          <w:shd w:val="clear" w:color="auto" w:fill="FFFFFF"/>
        </w:rPr>
        <w:t>、人社部关于支持和鼓励事业单位专业技术人员创新创业的指导意见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9</w:t>
      </w:r>
      <w:r>
        <w:rPr>
          <w:rFonts w:ascii="Times New Roman" w:eastAsia="方正仿宋简体" w:hAnsi="Times New Roman" w:hint="eastAsia"/>
          <w:kern w:val="0"/>
          <w:sz w:val="32"/>
          <w:szCs w:val="32"/>
          <w:shd w:val="clear" w:color="auto" w:fill="FFFFFF"/>
        </w:rPr>
        <w:t>、山东省关于深化科技体制改革加快创新发展的实施意见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10</w:t>
      </w:r>
      <w:r>
        <w:rPr>
          <w:rFonts w:ascii="Times New Roman" w:eastAsia="方正仿宋简体" w:hAnsi="Times New Roman" w:hint="eastAsia"/>
          <w:kern w:val="0"/>
          <w:sz w:val="32"/>
          <w:szCs w:val="32"/>
          <w:shd w:val="clear" w:color="auto" w:fill="FFFFFF"/>
        </w:rPr>
        <w:t>、河北省关于深化科技体制改革加快创新发展的实施意见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11</w:t>
      </w:r>
      <w:r>
        <w:rPr>
          <w:rFonts w:ascii="Times New Roman" w:eastAsia="方正仿宋简体" w:hAnsi="Times New Roman" w:hint="eastAsia"/>
          <w:kern w:val="0"/>
          <w:sz w:val="32"/>
          <w:szCs w:val="32"/>
          <w:shd w:val="clear" w:color="auto" w:fill="FFFFFF"/>
        </w:rPr>
        <w:t>、上海市委市政府关于建设科技创新中心的意见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12</w:t>
      </w:r>
      <w:r>
        <w:rPr>
          <w:rFonts w:ascii="Times New Roman" w:eastAsia="方正仿宋简体" w:hAnsi="Times New Roman" w:hint="eastAsia"/>
          <w:kern w:val="0"/>
          <w:sz w:val="32"/>
          <w:szCs w:val="32"/>
          <w:shd w:val="clear" w:color="auto" w:fill="FFFFFF"/>
        </w:rPr>
        <w:t>、石家庄关于深化科技体制改革加快创新发展的实施意见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13</w:t>
      </w:r>
      <w:r>
        <w:rPr>
          <w:rFonts w:ascii="Times New Roman" w:eastAsia="方正仿宋简体" w:hAnsi="Times New Roman" w:hint="eastAsia"/>
          <w:kern w:val="0"/>
          <w:sz w:val="32"/>
          <w:szCs w:val="32"/>
          <w:shd w:val="clear" w:color="auto" w:fill="FFFFFF"/>
        </w:rPr>
        <w:t>、徐州市委市政府关于贯彻落实省政府加快推进产业科技创新中心和创新型省份建设若干政策措施实施方案</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14</w:t>
      </w:r>
      <w:r>
        <w:rPr>
          <w:rFonts w:ascii="Times New Roman" w:eastAsia="方正仿宋简体" w:hAnsi="Times New Roman" w:hint="eastAsia"/>
          <w:kern w:val="0"/>
          <w:sz w:val="32"/>
          <w:szCs w:val="32"/>
          <w:shd w:val="clear" w:color="auto" w:fill="FFFFFF"/>
        </w:rPr>
        <w:t>、市委市政府关于加快建设淮海经济区人才高地的意见</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r>
        <w:rPr>
          <w:rFonts w:ascii="Times New Roman" w:eastAsia="方正仿宋简体" w:hAnsi="Times New Roman"/>
          <w:kern w:val="0"/>
          <w:sz w:val="32"/>
          <w:szCs w:val="32"/>
          <w:shd w:val="clear" w:color="auto" w:fill="FFFFFF"/>
        </w:rPr>
        <w:t>15</w:t>
      </w:r>
      <w:r>
        <w:rPr>
          <w:rFonts w:ascii="Times New Roman" w:eastAsia="方正仿宋简体" w:hAnsi="Times New Roman" w:hint="eastAsia"/>
          <w:kern w:val="0"/>
          <w:sz w:val="32"/>
          <w:szCs w:val="32"/>
          <w:shd w:val="clear" w:color="auto" w:fill="FFFFFF"/>
        </w:rPr>
        <w:t>、徐州市市级知识产权（专利）专项资金管理办法</w:t>
      </w:r>
    </w:p>
    <w:p w:rsidR="002755DA" w:rsidRDefault="002755DA" w:rsidP="00E718EA">
      <w:pPr>
        <w:spacing w:line="560" w:lineRule="exact"/>
        <w:ind w:firstLineChars="200" w:firstLine="31680"/>
        <w:rPr>
          <w:rFonts w:ascii="Times New Roman" w:eastAsia="方正仿宋简体" w:hAnsi="Times New Roman"/>
          <w:kern w:val="0"/>
          <w:sz w:val="32"/>
          <w:szCs w:val="32"/>
          <w:shd w:val="clear" w:color="auto" w:fill="FFFFFF"/>
        </w:rPr>
      </w:pPr>
    </w:p>
    <w:p w:rsidR="002755DA" w:rsidRDefault="002755DA">
      <w:pPr>
        <w:spacing w:line="560" w:lineRule="exact"/>
        <w:rPr>
          <w:rFonts w:ascii="Times New Roman" w:eastAsia="方正仿宋简体" w:hAnsi="Times New Roman"/>
          <w:kern w:val="0"/>
          <w:sz w:val="32"/>
          <w:szCs w:val="32"/>
          <w:shd w:val="clear" w:color="auto" w:fill="FFFFFF"/>
        </w:rPr>
      </w:pPr>
      <w:bookmarkStart w:id="0" w:name="_GoBack"/>
      <w:bookmarkEnd w:id="0"/>
    </w:p>
    <w:sectPr w:rsidR="002755DA" w:rsidSect="00AB305B">
      <w:footerReference w:type="default" r:id="rId7"/>
      <w:pgSz w:w="11906" w:h="16838"/>
      <w:pgMar w:top="1984" w:right="1531" w:bottom="1440"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5DA" w:rsidRDefault="002755DA" w:rsidP="00AB305B">
      <w:r>
        <w:separator/>
      </w:r>
    </w:p>
  </w:endnote>
  <w:endnote w:type="continuationSeparator" w:id="1">
    <w:p w:rsidR="002755DA" w:rsidRDefault="002755DA" w:rsidP="00AB3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5DA" w:rsidRDefault="002755D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2755DA" w:rsidRDefault="002755DA">
                <w:pPr>
                  <w:pStyle w:val="Footer"/>
                  <w:rPr>
                    <w:rFonts w:ascii="方正仿宋简体" w:eastAsia="方正仿宋简体" w:hAnsi="方正仿宋简体" w:cs="方正仿宋简体"/>
                    <w:sz w:val="30"/>
                    <w:szCs w:val="30"/>
                  </w:rPr>
                </w:pPr>
                <w:r>
                  <w:rPr>
                    <w:rFonts w:ascii="方正仿宋简体" w:eastAsia="方正仿宋简体" w:hAnsi="方正仿宋简体" w:cs="方正仿宋简体"/>
                    <w:sz w:val="30"/>
                    <w:szCs w:val="30"/>
                  </w:rPr>
                  <w:fldChar w:fldCharType="begin"/>
                </w:r>
                <w:r>
                  <w:rPr>
                    <w:rFonts w:ascii="方正仿宋简体" w:eastAsia="方正仿宋简体" w:hAnsi="方正仿宋简体" w:cs="方正仿宋简体"/>
                    <w:sz w:val="30"/>
                    <w:szCs w:val="30"/>
                  </w:rPr>
                  <w:instrText xml:space="preserve"> PAGE  \* MERGEFORMAT </w:instrText>
                </w:r>
                <w:r>
                  <w:rPr>
                    <w:rFonts w:ascii="方正仿宋简体" w:eastAsia="方正仿宋简体" w:hAnsi="方正仿宋简体" w:cs="方正仿宋简体"/>
                    <w:sz w:val="30"/>
                    <w:szCs w:val="30"/>
                  </w:rPr>
                  <w:fldChar w:fldCharType="separate"/>
                </w:r>
                <w:r>
                  <w:rPr>
                    <w:rFonts w:ascii="方正仿宋简体" w:eastAsia="方正仿宋简体" w:hAnsi="方正仿宋简体" w:cs="方正仿宋简体"/>
                    <w:noProof/>
                    <w:sz w:val="30"/>
                    <w:szCs w:val="30"/>
                  </w:rPr>
                  <w:t>- 16 -</w:t>
                </w:r>
                <w:r>
                  <w:rPr>
                    <w:rFonts w:ascii="方正仿宋简体" w:eastAsia="方正仿宋简体" w:hAnsi="方正仿宋简体" w:cs="方正仿宋简体"/>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5DA" w:rsidRDefault="002755DA" w:rsidP="00AB305B">
      <w:r>
        <w:separator/>
      </w:r>
    </w:p>
  </w:footnote>
  <w:footnote w:type="continuationSeparator" w:id="1">
    <w:p w:rsidR="002755DA" w:rsidRDefault="002755DA" w:rsidP="00AB3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412FE5"/>
    <w:multiLevelType w:val="singleLevel"/>
    <w:tmpl w:val="C5412FE5"/>
    <w:lvl w:ilvl="0">
      <w:start w:val="1"/>
      <w:numFmt w:val="chineseCounting"/>
      <w:lvlText w:val="(%1)"/>
      <w:lvlJc w:val="left"/>
      <w:pPr>
        <w:tabs>
          <w:tab w:val="left" w:pos="312"/>
        </w:tabs>
      </w:pPr>
      <w:rPr>
        <w:rFonts w:cs="Times New Roman" w:hint="eastAsia"/>
      </w:rPr>
    </w:lvl>
  </w:abstractNum>
  <w:abstractNum w:abstractNumId="1">
    <w:nsid w:val="089CEC82"/>
    <w:multiLevelType w:val="singleLevel"/>
    <w:tmpl w:val="089CEC82"/>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5C571E"/>
    <w:rsid w:val="000116AF"/>
    <w:rsid w:val="00067E45"/>
    <w:rsid w:val="00090B12"/>
    <w:rsid w:val="000A1BDF"/>
    <w:rsid w:val="00132558"/>
    <w:rsid w:val="001377E0"/>
    <w:rsid w:val="00156FAF"/>
    <w:rsid w:val="00176FA3"/>
    <w:rsid w:val="001F122D"/>
    <w:rsid w:val="001F3CFF"/>
    <w:rsid w:val="002651E9"/>
    <w:rsid w:val="002755DA"/>
    <w:rsid w:val="002B7942"/>
    <w:rsid w:val="002D226D"/>
    <w:rsid w:val="003275F3"/>
    <w:rsid w:val="00345B09"/>
    <w:rsid w:val="004C0F6A"/>
    <w:rsid w:val="00574B6C"/>
    <w:rsid w:val="005B0286"/>
    <w:rsid w:val="005B7B54"/>
    <w:rsid w:val="005C2F86"/>
    <w:rsid w:val="005D2243"/>
    <w:rsid w:val="006A36CC"/>
    <w:rsid w:val="00710EB0"/>
    <w:rsid w:val="0079630F"/>
    <w:rsid w:val="007C1FB2"/>
    <w:rsid w:val="00805107"/>
    <w:rsid w:val="00807040"/>
    <w:rsid w:val="008552D4"/>
    <w:rsid w:val="008D5A47"/>
    <w:rsid w:val="00904874"/>
    <w:rsid w:val="009939B9"/>
    <w:rsid w:val="009E427E"/>
    <w:rsid w:val="00A32919"/>
    <w:rsid w:val="00A35088"/>
    <w:rsid w:val="00A835F2"/>
    <w:rsid w:val="00AB305B"/>
    <w:rsid w:val="00B71C57"/>
    <w:rsid w:val="00BA7EDE"/>
    <w:rsid w:val="00BC1F20"/>
    <w:rsid w:val="00BD5134"/>
    <w:rsid w:val="00C1160C"/>
    <w:rsid w:val="00C25F78"/>
    <w:rsid w:val="00C270FF"/>
    <w:rsid w:val="00C97B50"/>
    <w:rsid w:val="00CF08DE"/>
    <w:rsid w:val="00D35C8C"/>
    <w:rsid w:val="00DE78C2"/>
    <w:rsid w:val="00E147E6"/>
    <w:rsid w:val="00E27B67"/>
    <w:rsid w:val="00E32F18"/>
    <w:rsid w:val="00E62007"/>
    <w:rsid w:val="00E718EA"/>
    <w:rsid w:val="00E94195"/>
    <w:rsid w:val="00EA45D9"/>
    <w:rsid w:val="00FA696E"/>
    <w:rsid w:val="00FC507F"/>
    <w:rsid w:val="00FD043A"/>
    <w:rsid w:val="00FD3349"/>
    <w:rsid w:val="00FD7529"/>
    <w:rsid w:val="00FE0D5D"/>
    <w:rsid w:val="01014550"/>
    <w:rsid w:val="012873EB"/>
    <w:rsid w:val="01887245"/>
    <w:rsid w:val="01925D11"/>
    <w:rsid w:val="01C96AE6"/>
    <w:rsid w:val="01E15BC6"/>
    <w:rsid w:val="02156F9E"/>
    <w:rsid w:val="02A77687"/>
    <w:rsid w:val="02AD7ADE"/>
    <w:rsid w:val="02E06038"/>
    <w:rsid w:val="03406A82"/>
    <w:rsid w:val="036B285E"/>
    <w:rsid w:val="03E239A7"/>
    <w:rsid w:val="0409738C"/>
    <w:rsid w:val="043D66C0"/>
    <w:rsid w:val="044209D7"/>
    <w:rsid w:val="04515930"/>
    <w:rsid w:val="04C85F75"/>
    <w:rsid w:val="05D75E2E"/>
    <w:rsid w:val="05FF21E8"/>
    <w:rsid w:val="060E4947"/>
    <w:rsid w:val="066D52DE"/>
    <w:rsid w:val="067268ED"/>
    <w:rsid w:val="06A0704C"/>
    <w:rsid w:val="06AD59F9"/>
    <w:rsid w:val="06C23E2D"/>
    <w:rsid w:val="06C35FC3"/>
    <w:rsid w:val="071F5632"/>
    <w:rsid w:val="07373310"/>
    <w:rsid w:val="078C0F9B"/>
    <w:rsid w:val="07931CDF"/>
    <w:rsid w:val="07AF13BA"/>
    <w:rsid w:val="081C6441"/>
    <w:rsid w:val="083E3AC0"/>
    <w:rsid w:val="084229DB"/>
    <w:rsid w:val="084C71AB"/>
    <w:rsid w:val="08AD244D"/>
    <w:rsid w:val="09044333"/>
    <w:rsid w:val="090C11EF"/>
    <w:rsid w:val="0946176B"/>
    <w:rsid w:val="09F76995"/>
    <w:rsid w:val="0A5B1CD0"/>
    <w:rsid w:val="0A977496"/>
    <w:rsid w:val="0AED4520"/>
    <w:rsid w:val="0AF50DF7"/>
    <w:rsid w:val="0B291862"/>
    <w:rsid w:val="0BAD402F"/>
    <w:rsid w:val="0BB82AFF"/>
    <w:rsid w:val="0BC4090A"/>
    <w:rsid w:val="0C85568E"/>
    <w:rsid w:val="0CC23BFE"/>
    <w:rsid w:val="0D0A726D"/>
    <w:rsid w:val="0D3522FD"/>
    <w:rsid w:val="0D4C4B47"/>
    <w:rsid w:val="0D5117AC"/>
    <w:rsid w:val="0D566A4E"/>
    <w:rsid w:val="0D6A0748"/>
    <w:rsid w:val="0D8F4043"/>
    <w:rsid w:val="0DFA30BE"/>
    <w:rsid w:val="0E3D5A5A"/>
    <w:rsid w:val="0E7D1DC9"/>
    <w:rsid w:val="0EF44CE6"/>
    <w:rsid w:val="0EF93F64"/>
    <w:rsid w:val="0F25762D"/>
    <w:rsid w:val="0F525FE4"/>
    <w:rsid w:val="0F551107"/>
    <w:rsid w:val="0F784996"/>
    <w:rsid w:val="0FDF4528"/>
    <w:rsid w:val="0FE42EC8"/>
    <w:rsid w:val="0FEC71C2"/>
    <w:rsid w:val="10B74394"/>
    <w:rsid w:val="10DB371E"/>
    <w:rsid w:val="10F04B68"/>
    <w:rsid w:val="112B6908"/>
    <w:rsid w:val="11556063"/>
    <w:rsid w:val="11634B87"/>
    <w:rsid w:val="11882767"/>
    <w:rsid w:val="119F4406"/>
    <w:rsid w:val="11A94853"/>
    <w:rsid w:val="11FF6F99"/>
    <w:rsid w:val="12025DB3"/>
    <w:rsid w:val="123365A2"/>
    <w:rsid w:val="12384162"/>
    <w:rsid w:val="12491C56"/>
    <w:rsid w:val="12E0318B"/>
    <w:rsid w:val="130F3F67"/>
    <w:rsid w:val="133755F3"/>
    <w:rsid w:val="13561013"/>
    <w:rsid w:val="136A1EF0"/>
    <w:rsid w:val="139F1597"/>
    <w:rsid w:val="13C271C4"/>
    <w:rsid w:val="13DF2927"/>
    <w:rsid w:val="13E830F7"/>
    <w:rsid w:val="1407599E"/>
    <w:rsid w:val="14397977"/>
    <w:rsid w:val="14E74CEE"/>
    <w:rsid w:val="14F5538B"/>
    <w:rsid w:val="15161632"/>
    <w:rsid w:val="15283310"/>
    <w:rsid w:val="1534713A"/>
    <w:rsid w:val="153B0332"/>
    <w:rsid w:val="15494FE0"/>
    <w:rsid w:val="15530FED"/>
    <w:rsid w:val="156558B2"/>
    <w:rsid w:val="1589011C"/>
    <w:rsid w:val="15B82ACA"/>
    <w:rsid w:val="16186F53"/>
    <w:rsid w:val="161A610A"/>
    <w:rsid w:val="16456468"/>
    <w:rsid w:val="16717028"/>
    <w:rsid w:val="16842D08"/>
    <w:rsid w:val="168E3288"/>
    <w:rsid w:val="172B21AB"/>
    <w:rsid w:val="175E45F7"/>
    <w:rsid w:val="17846D85"/>
    <w:rsid w:val="178D2726"/>
    <w:rsid w:val="179E5B5C"/>
    <w:rsid w:val="17BC0DAF"/>
    <w:rsid w:val="18217679"/>
    <w:rsid w:val="182D3912"/>
    <w:rsid w:val="18571212"/>
    <w:rsid w:val="18604D96"/>
    <w:rsid w:val="188F1A05"/>
    <w:rsid w:val="18A53FE8"/>
    <w:rsid w:val="18F81D36"/>
    <w:rsid w:val="195C70AA"/>
    <w:rsid w:val="1978081E"/>
    <w:rsid w:val="19E83E43"/>
    <w:rsid w:val="1A005FE7"/>
    <w:rsid w:val="1A103119"/>
    <w:rsid w:val="1A1A58B4"/>
    <w:rsid w:val="1A416F48"/>
    <w:rsid w:val="1A522848"/>
    <w:rsid w:val="1A87723B"/>
    <w:rsid w:val="1A8D72B1"/>
    <w:rsid w:val="1ABC1A69"/>
    <w:rsid w:val="1B57198E"/>
    <w:rsid w:val="1B7F5017"/>
    <w:rsid w:val="1B820F64"/>
    <w:rsid w:val="1BAC509E"/>
    <w:rsid w:val="1BFA1FBE"/>
    <w:rsid w:val="1C4A5F4F"/>
    <w:rsid w:val="1C8B635B"/>
    <w:rsid w:val="1CBB3E01"/>
    <w:rsid w:val="1CC4312F"/>
    <w:rsid w:val="1D193B7D"/>
    <w:rsid w:val="1D554794"/>
    <w:rsid w:val="1D77043F"/>
    <w:rsid w:val="1D865C5A"/>
    <w:rsid w:val="1E0A2098"/>
    <w:rsid w:val="1E1217D7"/>
    <w:rsid w:val="1E15619B"/>
    <w:rsid w:val="1E332390"/>
    <w:rsid w:val="1EBB00C0"/>
    <w:rsid w:val="1EF32552"/>
    <w:rsid w:val="1F152048"/>
    <w:rsid w:val="1F272252"/>
    <w:rsid w:val="1F7220D6"/>
    <w:rsid w:val="1F770630"/>
    <w:rsid w:val="1FAD6E48"/>
    <w:rsid w:val="1FDA6AAF"/>
    <w:rsid w:val="200B439B"/>
    <w:rsid w:val="20585F29"/>
    <w:rsid w:val="212E738A"/>
    <w:rsid w:val="216600FD"/>
    <w:rsid w:val="21693415"/>
    <w:rsid w:val="217103B8"/>
    <w:rsid w:val="21BB3921"/>
    <w:rsid w:val="21BF28FA"/>
    <w:rsid w:val="22646098"/>
    <w:rsid w:val="22753856"/>
    <w:rsid w:val="22A927E3"/>
    <w:rsid w:val="235C571E"/>
    <w:rsid w:val="23731AE6"/>
    <w:rsid w:val="2391542F"/>
    <w:rsid w:val="23AD494E"/>
    <w:rsid w:val="23D92498"/>
    <w:rsid w:val="2423666F"/>
    <w:rsid w:val="245C1FC6"/>
    <w:rsid w:val="24D76ECC"/>
    <w:rsid w:val="24F92D76"/>
    <w:rsid w:val="258852D5"/>
    <w:rsid w:val="25A23C20"/>
    <w:rsid w:val="25DD7A9C"/>
    <w:rsid w:val="25F37272"/>
    <w:rsid w:val="263734DB"/>
    <w:rsid w:val="26432602"/>
    <w:rsid w:val="26750AB1"/>
    <w:rsid w:val="26783C34"/>
    <w:rsid w:val="26886ED8"/>
    <w:rsid w:val="26A00332"/>
    <w:rsid w:val="26A45A59"/>
    <w:rsid w:val="270B29FF"/>
    <w:rsid w:val="273417E5"/>
    <w:rsid w:val="27383D1B"/>
    <w:rsid w:val="273C5884"/>
    <w:rsid w:val="279F06A2"/>
    <w:rsid w:val="27FB088C"/>
    <w:rsid w:val="285D3AC2"/>
    <w:rsid w:val="287A139E"/>
    <w:rsid w:val="291236E5"/>
    <w:rsid w:val="29665D78"/>
    <w:rsid w:val="29867050"/>
    <w:rsid w:val="29881A76"/>
    <w:rsid w:val="2999657F"/>
    <w:rsid w:val="29A22846"/>
    <w:rsid w:val="2A596129"/>
    <w:rsid w:val="2AB37C08"/>
    <w:rsid w:val="2B5256E2"/>
    <w:rsid w:val="2B9841DF"/>
    <w:rsid w:val="2B9E30BA"/>
    <w:rsid w:val="2BD12F55"/>
    <w:rsid w:val="2BDC4023"/>
    <w:rsid w:val="2CC62EC1"/>
    <w:rsid w:val="2CCF2EC6"/>
    <w:rsid w:val="2CDE3541"/>
    <w:rsid w:val="2CF02989"/>
    <w:rsid w:val="2D4D44F4"/>
    <w:rsid w:val="2D906421"/>
    <w:rsid w:val="2D9B17E6"/>
    <w:rsid w:val="2DB11116"/>
    <w:rsid w:val="2DB84E06"/>
    <w:rsid w:val="2DDF2D41"/>
    <w:rsid w:val="2E017FA6"/>
    <w:rsid w:val="2E0D0264"/>
    <w:rsid w:val="2E106D98"/>
    <w:rsid w:val="2E9043A5"/>
    <w:rsid w:val="2EB000DB"/>
    <w:rsid w:val="2F33104B"/>
    <w:rsid w:val="2F393F75"/>
    <w:rsid w:val="2F3F134A"/>
    <w:rsid w:val="2F6C2529"/>
    <w:rsid w:val="2F7A281F"/>
    <w:rsid w:val="2F80091F"/>
    <w:rsid w:val="2FA5167D"/>
    <w:rsid w:val="2FAD2708"/>
    <w:rsid w:val="2FCE5183"/>
    <w:rsid w:val="2FEF38C8"/>
    <w:rsid w:val="2FF3449E"/>
    <w:rsid w:val="2FF82828"/>
    <w:rsid w:val="30397047"/>
    <w:rsid w:val="303F01D5"/>
    <w:rsid w:val="30756D52"/>
    <w:rsid w:val="309C3393"/>
    <w:rsid w:val="30C73D37"/>
    <w:rsid w:val="30F9627C"/>
    <w:rsid w:val="31035A09"/>
    <w:rsid w:val="31377C4D"/>
    <w:rsid w:val="31422B35"/>
    <w:rsid w:val="315201E5"/>
    <w:rsid w:val="316F764A"/>
    <w:rsid w:val="31721C0D"/>
    <w:rsid w:val="317D4548"/>
    <w:rsid w:val="3197128F"/>
    <w:rsid w:val="31CF6241"/>
    <w:rsid w:val="31E807E1"/>
    <w:rsid w:val="3201084A"/>
    <w:rsid w:val="321D1BCB"/>
    <w:rsid w:val="32227C7F"/>
    <w:rsid w:val="3256750B"/>
    <w:rsid w:val="328A5AF9"/>
    <w:rsid w:val="328B2C30"/>
    <w:rsid w:val="32BB6112"/>
    <w:rsid w:val="32C953A9"/>
    <w:rsid w:val="32F84907"/>
    <w:rsid w:val="330D790E"/>
    <w:rsid w:val="3335116A"/>
    <w:rsid w:val="33471403"/>
    <w:rsid w:val="33585197"/>
    <w:rsid w:val="33FC60EA"/>
    <w:rsid w:val="343D1F08"/>
    <w:rsid w:val="34683379"/>
    <w:rsid w:val="347B0674"/>
    <w:rsid w:val="349723B6"/>
    <w:rsid w:val="34B036D1"/>
    <w:rsid w:val="34BB34AC"/>
    <w:rsid w:val="34BD3616"/>
    <w:rsid w:val="34C408EA"/>
    <w:rsid w:val="35192E1A"/>
    <w:rsid w:val="356336F3"/>
    <w:rsid w:val="35675B6A"/>
    <w:rsid w:val="35724AEB"/>
    <w:rsid w:val="35B861AC"/>
    <w:rsid w:val="35BB26E0"/>
    <w:rsid w:val="360D7963"/>
    <w:rsid w:val="36347A69"/>
    <w:rsid w:val="36725E74"/>
    <w:rsid w:val="369B764C"/>
    <w:rsid w:val="36D85946"/>
    <w:rsid w:val="36EC219C"/>
    <w:rsid w:val="372F2E94"/>
    <w:rsid w:val="379D10D7"/>
    <w:rsid w:val="37A5567A"/>
    <w:rsid w:val="37AB1E87"/>
    <w:rsid w:val="37DE02EE"/>
    <w:rsid w:val="383408F3"/>
    <w:rsid w:val="38770827"/>
    <w:rsid w:val="387B0226"/>
    <w:rsid w:val="38AD4208"/>
    <w:rsid w:val="38BD22EE"/>
    <w:rsid w:val="38D0211D"/>
    <w:rsid w:val="39022292"/>
    <w:rsid w:val="391D51C8"/>
    <w:rsid w:val="392A0273"/>
    <w:rsid w:val="395077ED"/>
    <w:rsid w:val="395634C5"/>
    <w:rsid w:val="39B05D8D"/>
    <w:rsid w:val="3A137D0A"/>
    <w:rsid w:val="3A476A0B"/>
    <w:rsid w:val="3A4901CF"/>
    <w:rsid w:val="3A6038AF"/>
    <w:rsid w:val="3A821DD4"/>
    <w:rsid w:val="3A8902E5"/>
    <w:rsid w:val="3AAB6A08"/>
    <w:rsid w:val="3AC44684"/>
    <w:rsid w:val="3ACC435B"/>
    <w:rsid w:val="3B796222"/>
    <w:rsid w:val="3BB50E9A"/>
    <w:rsid w:val="3BCA5DEC"/>
    <w:rsid w:val="3BEC1C70"/>
    <w:rsid w:val="3BEE5874"/>
    <w:rsid w:val="3BF14441"/>
    <w:rsid w:val="3C15267F"/>
    <w:rsid w:val="3C163E05"/>
    <w:rsid w:val="3C352570"/>
    <w:rsid w:val="3C362137"/>
    <w:rsid w:val="3C745FAC"/>
    <w:rsid w:val="3CAE327A"/>
    <w:rsid w:val="3CDC0001"/>
    <w:rsid w:val="3D240FBA"/>
    <w:rsid w:val="3D45426D"/>
    <w:rsid w:val="3D733D53"/>
    <w:rsid w:val="3D8309EC"/>
    <w:rsid w:val="3E261485"/>
    <w:rsid w:val="3E2676A9"/>
    <w:rsid w:val="3E582B2C"/>
    <w:rsid w:val="3E6C2AEF"/>
    <w:rsid w:val="3E7271DD"/>
    <w:rsid w:val="3ECB2FCB"/>
    <w:rsid w:val="3ECE7C44"/>
    <w:rsid w:val="3F0F5C62"/>
    <w:rsid w:val="3F354229"/>
    <w:rsid w:val="3F472461"/>
    <w:rsid w:val="3F4C4134"/>
    <w:rsid w:val="3F565C5D"/>
    <w:rsid w:val="3F632D0C"/>
    <w:rsid w:val="3F845B26"/>
    <w:rsid w:val="3F9A7DD6"/>
    <w:rsid w:val="3FBB12F8"/>
    <w:rsid w:val="401253F3"/>
    <w:rsid w:val="405C526E"/>
    <w:rsid w:val="405E4DD9"/>
    <w:rsid w:val="40757DF8"/>
    <w:rsid w:val="408A345A"/>
    <w:rsid w:val="408D4304"/>
    <w:rsid w:val="40931EE0"/>
    <w:rsid w:val="40EC665D"/>
    <w:rsid w:val="414C1656"/>
    <w:rsid w:val="41785D55"/>
    <w:rsid w:val="418A1C23"/>
    <w:rsid w:val="41D90AFC"/>
    <w:rsid w:val="41D94EDD"/>
    <w:rsid w:val="41FA13AF"/>
    <w:rsid w:val="422C2433"/>
    <w:rsid w:val="42403605"/>
    <w:rsid w:val="42DD14A0"/>
    <w:rsid w:val="4303799B"/>
    <w:rsid w:val="43253B64"/>
    <w:rsid w:val="43395C08"/>
    <w:rsid w:val="43493163"/>
    <w:rsid w:val="4354637C"/>
    <w:rsid w:val="43912B36"/>
    <w:rsid w:val="43A221AF"/>
    <w:rsid w:val="43B05D10"/>
    <w:rsid w:val="445427D9"/>
    <w:rsid w:val="44567850"/>
    <w:rsid w:val="445C1E94"/>
    <w:rsid w:val="445D6D79"/>
    <w:rsid w:val="448C6C84"/>
    <w:rsid w:val="44A86225"/>
    <w:rsid w:val="44BA5779"/>
    <w:rsid w:val="44C60995"/>
    <w:rsid w:val="44EF53FA"/>
    <w:rsid w:val="45302328"/>
    <w:rsid w:val="45C33E35"/>
    <w:rsid w:val="45D4088C"/>
    <w:rsid w:val="45D812D6"/>
    <w:rsid w:val="46B037F7"/>
    <w:rsid w:val="46C04122"/>
    <w:rsid w:val="46EE5A64"/>
    <w:rsid w:val="46F018F2"/>
    <w:rsid w:val="470F0026"/>
    <w:rsid w:val="47272139"/>
    <w:rsid w:val="479804D5"/>
    <w:rsid w:val="47B50370"/>
    <w:rsid w:val="47CD00C1"/>
    <w:rsid w:val="47FC43FA"/>
    <w:rsid w:val="48296867"/>
    <w:rsid w:val="48411E67"/>
    <w:rsid w:val="484766B1"/>
    <w:rsid w:val="485133FC"/>
    <w:rsid w:val="48B72881"/>
    <w:rsid w:val="48BB29F6"/>
    <w:rsid w:val="48C24399"/>
    <w:rsid w:val="48F554FD"/>
    <w:rsid w:val="491102CC"/>
    <w:rsid w:val="49314AD9"/>
    <w:rsid w:val="496E5D12"/>
    <w:rsid w:val="49841A60"/>
    <w:rsid w:val="498751D3"/>
    <w:rsid w:val="498D6888"/>
    <w:rsid w:val="49D02708"/>
    <w:rsid w:val="4A430D59"/>
    <w:rsid w:val="4A4448B0"/>
    <w:rsid w:val="4A4A178F"/>
    <w:rsid w:val="4A9B4278"/>
    <w:rsid w:val="4AAC3FBC"/>
    <w:rsid w:val="4ACD1E07"/>
    <w:rsid w:val="4AE51C10"/>
    <w:rsid w:val="4B192006"/>
    <w:rsid w:val="4B5A4F93"/>
    <w:rsid w:val="4B5C4963"/>
    <w:rsid w:val="4B912A74"/>
    <w:rsid w:val="4BEB42CF"/>
    <w:rsid w:val="4C0412CC"/>
    <w:rsid w:val="4C10300C"/>
    <w:rsid w:val="4C530CB5"/>
    <w:rsid w:val="4C8904C0"/>
    <w:rsid w:val="4C90555B"/>
    <w:rsid w:val="4CAF60C4"/>
    <w:rsid w:val="4CDC6E15"/>
    <w:rsid w:val="4CE527A9"/>
    <w:rsid w:val="4CFA22C6"/>
    <w:rsid w:val="4D07262D"/>
    <w:rsid w:val="4D212EFE"/>
    <w:rsid w:val="4D2616C2"/>
    <w:rsid w:val="4D3B27E5"/>
    <w:rsid w:val="4D49750F"/>
    <w:rsid w:val="4D5705AF"/>
    <w:rsid w:val="4D694FFD"/>
    <w:rsid w:val="4DB02153"/>
    <w:rsid w:val="4E0B7E78"/>
    <w:rsid w:val="4E134BCB"/>
    <w:rsid w:val="4E382C1A"/>
    <w:rsid w:val="4E7B5338"/>
    <w:rsid w:val="4EAB38F4"/>
    <w:rsid w:val="4F306C21"/>
    <w:rsid w:val="4F3B3669"/>
    <w:rsid w:val="4F74637B"/>
    <w:rsid w:val="4F83677B"/>
    <w:rsid w:val="4F8933C5"/>
    <w:rsid w:val="4F9F2F3C"/>
    <w:rsid w:val="4FC1473E"/>
    <w:rsid w:val="4FF4596A"/>
    <w:rsid w:val="501D0526"/>
    <w:rsid w:val="507266CF"/>
    <w:rsid w:val="51061F3A"/>
    <w:rsid w:val="517F3E7D"/>
    <w:rsid w:val="518E3ED0"/>
    <w:rsid w:val="51C94CCE"/>
    <w:rsid w:val="51F77D86"/>
    <w:rsid w:val="51FD219C"/>
    <w:rsid w:val="52747BD4"/>
    <w:rsid w:val="529A6810"/>
    <w:rsid w:val="52AA3202"/>
    <w:rsid w:val="52AB3EF5"/>
    <w:rsid w:val="53393FE9"/>
    <w:rsid w:val="53512633"/>
    <w:rsid w:val="53583F67"/>
    <w:rsid w:val="53657C4E"/>
    <w:rsid w:val="537C56D9"/>
    <w:rsid w:val="549374B9"/>
    <w:rsid w:val="54F87A85"/>
    <w:rsid w:val="552A23E4"/>
    <w:rsid w:val="55324557"/>
    <w:rsid w:val="553D0C81"/>
    <w:rsid w:val="556348F4"/>
    <w:rsid w:val="55693F79"/>
    <w:rsid w:val="557E56B9"/>
    <w:rsid w:val="55BC51DE"/>
    <w:rsid w:val="56253707"/>
    <w:rsid w:val="56DE0C43"/>
    <w:rsid w:val="57167932"/>
    <w:rsid w:val="57AE14FB"/>
    <w:rsid w:val="57B84C62"/>
    <w:rsid w:val="57BF2A54"/>
    <w:rsid w:val="57C571B3"/>
    <w:rsid w:val="57E80482"/>
    <w:rsid w:val="58063768"/>
    <w:rsid w:val="581713E7"/>
    <w:rsid w:val="584D5B7B"/>
    <w:rsid w:val="58636213"/>
    <w:rsid w:val="58651E46"/>
    <w:rsid w:val="5878345D"/>
    <w:rsid w:val="5886545E"/>
    <w:rsid w:val="59263D98"/>
    <w:rsid w:val="595C1213"/>
    <w:rsid w:val="5964688A"/>
    <w:rsid w:val="59650430"/>
    <w:rsid w:val="597646AA"/>
    <w:rsid w:val="5A41194A"/>
    <w:rsid w:val="5A630610"/>
    <w:rsid w:val="5A6E1502"/>
    <w:rsid w:val="5AA32A9A"/>
    <w:rsid w:val="5ACF3AB2"/>
    <w:rsid w:val="5B286F9B"/>
    <w:rsid w:val="5B410C51"/>
    <w:rsid w:val="5B67178C"/>
    <w:rsid w:val="5B866091"/>
    <w:rsid w:val="5B94281C"/>
    <w:rsid w:val="5BE23DFB"/>
    <w:rsid w:val="5BFC48CA"/>
    <w:rsid w:val="5C0241D6"/>
    <w:rsid w:val="5C262951"/>
    <w:rsid w:val="5C967023"/>
    <w:rsid w:val="5CB879BC"/>
    <w:rsid w:val="5CC14D65"/>
    <w:rsid w:val="5CCE5C51"/>
    <w:rsid w:val="5CD82B61"/>
    <w:rsid w:val="5CFF3485"/>
    <w:rsid w:val="5D212999"/>
    <w:rsid w:val="5D31059B"/>
    <w:rsid w:val="5D3340D5"/>
    <w:rsid w:val="5D5262E3"/>
    <w:rsid w:val="5D604B02"/>
    <w:rsid w:val="5DAA1AE4"/>
    <w:rsid w:val="5DED6C82"/>
    <w:rsid w:val="5E1D1E74"/>
    <w:rsid w:val="5E410541"/>
    <w:rsid w:val="5F4970B2"/>
    <w:rsid w:val="5F5015FD"/>
    <w:rsid w:val="5F5F4F6F"/>
    <w:rsid w:val="5F8F7865"/>
    <w:rsid w:val="5FA64BC5"/>
    <w:rsid w:val="5FA7110B"/>
    <w:rsid w:val="5FD2420B"/>
    <w:rsid w:val="5FDB4A4B"/>
    <w:rsid w:val="604B151E"/>
    <w:rsid w:val="60BE2BC8"/>
    <w:rsid w:val="60CF7331"/>
    <w:rsid w:val="60DF1613"/>
    <w:rsid w:val="60E23D1D"/>
    <w:rsid w:val="614C0F5A"/>
    <w:rsid w:val="61715807"/>
    <w:rsid w:val="618F3629"/>
    <w:rsid w:val="61BB44A7"/>
    <w:rsid w:val="61BD0137"/>
    <w:rsid w:val="61D46BEC"/>
    <w:rsid w:val="61F209BF"/>
    <w:rsid w:val="623A5721"/>
    <w:rsid w:val="62A628F1"/>
    <w:rsid w:val="63477885"/>
    <w:rsid w:val="636E6A06"/>
    <w:rsid w:val="63E56384"/>
    <w:rsid w:val="641350C4"/>
    <w:rsid w:val="64457955"/>
    <w:rsid w:val="64863913"/>
    <w:rsid w:val="64A712BB"/>
    <w:rsid w:val="64B078AC"/>
    <w:rsid w:val="64B32A7E"/>
    <w:rsid w:val="64E14247"/>
    <w:rsid w:val="64F50009"/>
    <w:rsid w:val="65272DE5"/>
    <w:rsid w:val="652A7A85"/>
    <w:rsid w:val="652C335E"/>
    <w:rsid w:val="657A0E5B"/>
    <w:rsid w:val="657C49B1"/>
    <w:rsid w:val="659E34CD"/>
    <w:rsid w:val="65F82E03"/>
    <w:rsid w:val="6616392B"/>
    <w:rsid w:val="66207BB7"/>
    <w:rsid w:val="662E7373"/>
    <w:rsid w:val="66420FBC"/>
    <w:rsid w:val="6686362A"/>
    <w:rsid w:val="66AD6109"/>
    <w:rsid w:val="66E53967"/>
    <w:rsid w:val="678C2AB7"/>
    <w:rsid w:val="6790324B"/>
    <w:rsid w:val="679A591D"/>
    <w:rsid w:val="67F75710"/>
    <w:rsid w:val="67FA371F"/>
    <w:rsid w:val="682966E8"/>
    <w:rsid w:val="68453DDC"/>
    <w:rsid w:val="684B1CFA"/>
    <w:rsid w:val="68533142"/>
    <w:rsid w:val="686E2936"/>
    <w:rsid w:val="687D69C4"/>
    <w:rsid w:val="6883016A"/>
    <w:rsid w:val="68E420E1"/>
    <w:rsid w:val="68F61795"/>
    <w:rsid w:val="690A4CD4"/>
    <w:rsid w:val="691979F5"/>
    <w:rsid w:val="6922225F"/>
    <w:rsid w:val="697D0BF3"/>
    <w:rsid w:val="69BB5B8C"/>
    <w:rsid w:val="6A0065F0"/>
    <w:rsid w:val="6A3A18FA"/>
    <w:rsid w:val="6A575438"/>
    <w:rsid w:val="6A75388C"/>
    <w:rsid w:val="6A8A0D3F"/>
    <w:rsid w:val="6A8D1D0D"/>
    <w:rsid w:val="6AAD4ECC"/>
    <w:rsid w:val="6AB703CD"/>
    <w:rsid w:val="6AD27519"/>
    <w:rsid w:val="6B256C1E"/>
    <w:rsid w:val="6B28722A"/>
    <w:rsid w:val="6B3520E3"/>
    <w:rsid w:val="6B4E4138"/>
    <w:rsid w:val="6BD956CE"/>
    <w:rsid w:val="6BF5167E"/>
    <w:rsid w:val="6C112705"/>
    <w:rsid w:val="6C1A52B3"/>
    <w:rsid w:val="6CA17E2E"/>
    <w:rsid w:val="6D013F5A"/>
    <w:rsid w:val="6D0F15F7"/>
    <w:rsid w:val="6D1914B6"/>
    <w:rsid w:val="6D4549CB"/>
    <w:rsid w:val="6D506665"/>
    <w:rsid w:val="6D8F57FB"/>
    <w:rsid w:val="6D8F7F45"/>
    <w:rsid w:val="6D9B183D"/>
    <w:rsid w:val="6DA65D20"/>
    <w:rsid w:val="6E1B51ED"/>
    <w:rsid w:val="6E24132C"/>
    <w:rsid w:val="6E2C2BDD"/>
    <w:rsid w:val="6EE4686C"/>
    <w:rsid w:val="6F01710C"/>
    <w:rsid w:val="6F381842"/>
    <w:rsid w:val="6F7B1EB2"/>
    <w:rsid w:val="6F8B5D5F"/>
    <w:rsid w:val="6FF76A9B"/>
    <w:rsid w:val="70140018"/>
    <w:rsid w:val="705834F5"/>
    <w:rsid w:val="71514CF3"/>
    <w:rsid w:val="71742A16"/>
    <w:rsid w:val="717A42A9"/>
    <w:rsid w:val="71B14C6F"/>
    <w:rsid w:val="724E1B12"/>
    <w:rsid w:val="732F51EB"/>
    <w:rsid w:val="73514C6F"/>
    <w:rsid w:val="738F23E5"/>
    <w:rsid w:val="739F4877"/>
    <w:rsid w:val="740A5BE2"/>
    <w:rsid w:val="7450492F"/>
    <w:rsid w:val="745305AB"/>
    <w:rsid w:val="745F6040"/>
    <w:rsid w:val="74942B54"/>
    <w:rsid w:val="749A23D1"/>
    <w:rsid w:val="753D32FC"/>
    <w:rsid w:val="756A6E41"/>
    <w:rsid w:val="758C4AB2"/>
    <w:rsid w:val="75A22227"/>
    <w:rsid w:val="760D2948"/>
    <w:rsid w:val="767E4D2F"/>
    <w:rsid w:val="768704E2"/>
    <w:rsid w:val="7687674C"/>
    <w:rsid w:val="769141EB"/>
    <w:rsid w:val="769F6199"/>
    <w:rsid w:val="76BC7777"/>
    <w:rsid w:val="76CB7467"/>
    <w:rsid w:val="76D214C0"/>
    <w:rsid w:val="77003CA8"/>
    <w:rsid w:val="770A0558"/>
    <w:rsid w:val="7714454A"/>
    <w:rsid w:val="775918D5"/>
    <w:rsid w:val="77896A95"/>
    <w:rsid w:val="77933A3E"/>
    <w:rsid w:val="77B979E3"/>
    <w:rsid w:val="77C8018C"/>
    <w:rsid w:val="77CF101E"/>
    <w:rsid w:val="77DE66D2"/>
    <w:rsid w:val="787B3396"/>
    <w:rsid w:val="788914E9"/>
    <w:rsid w:val="78E16ABD"/>
    <w:rsid w:val="79131836"/>
    <w:rsid w:val="79250D02"/>
    <w:rsid w:val="79485AD8"/>
    <w:rsid w:val="798B6BD8"/>
    <w:rsid w:val="798E72F5"/>
    <w:rsid w:val="79B91123"/>
    <w:rsid w:val="79C73F44"/>
    <w:rsid w:val="79EB4F6D"/>
    <w:rsid w:val="79F7188A"/>
    <w:rsid w:val="7A4F53F6"/>
    <w:rsid w:val="7AB823D2"/>
    <w:rsid w:val="7ACA0355"/>
    <w:rsid w:val="7B4B2FBF"/>
    <w:rsid w:val="7B51393A"/>
    <w:rsid w:val="7B6C5A80"/>
    <w:rsid w:val="7B9349B4"/>
    <w:rsid w:val="7BDB11BE"/>
    <w:rsid w:val="7BEE72CB"/>
    <w:rsid w:val="7C3F1BA1"/>
    <w:rsid w:val="7C787AFB"/>
    <w:rsid w:val="7C915E12"/>
    <w:rsid w:val="7C9A0917"/>
    <w:rsid w:val="7CD673C4"/>
    <w:rsid w:val="7CDC1AB2"/>
    <w:rsid w:val="7D110DAE"/>
    <w:rsid w:val="7D24110D"/>
    <w:rsid w:val="7D531419"/>
    <w:rsid w:val="7D702C60"/>
    <w:rsid w:val="7DB2484F"/>
    <w:rsid w:val="7DBE2E52"/>
    <w:rsid w:val="7DDB38E9"/>
    <w:rsid w:val="7E6064D0"/>
    <w:rsid w:val="7E8367BE"/>
    <w:rsid w:val="7EB355F0"/>
    <w:rsid w:val="7EE22BD9"/>
    <w:rsid w:val="7F1F3F17"/>
    <w:rsid w:val="7F385387"/>
    <w:rsid w:val="7F810451"/>
    <w:rsid w:val="7FB05F7D"/>
    <w:rsid w:val="7FE97188"/>
    <w:rsid w:val="7FFD7C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5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305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B305B"/>
    <w:rPr>
      <w:rFonts w:ascii="Calibri" w:hAnsi="Calibri" w:cs="Times New Roman"/>
      <w:sz w:val="18"/>
      <w:szCs w:val="18"/>
    </w:rPr>
  </w:style>
  <w:style w:type="paragraph" w:styleId="Header">
    <w:name w:val="header"/>
    <w:basedOn w:val="Normal"/>
    <w:link w:val="HeaderChar"/>
    <w:uiPriority w:val="99"/>
    <w:rsid w:val="00AB305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B305B"/>
    <w:rPr>
      <w:rFonts w:ascii="Calibri" w:hAnsi="Calibri" w:cs="Times New Roman"/>
      <w:sz w:val="18"/>
      <w:szCs w:val="18"/>
    </w:rPr>
  </w:style>
  <w:style w:type="paragraph" w:styleId="NormalWeb">
    <w:name w:val="Normal (Web)"/>
    <w:basedOn w:val="Normal"/>
    <w:uiPriority w:val="99"/>
    <w:rsid w:val="00AB305B"/>
    <w:pPr>
      <w:spacing w:beforeAutospacing="1" w:afterAutospacing="1"/>
      <w:jc w:val="left"/>
    </w:pPr>
    <w:rPr>
      <w:kern w:val="0"/>
      <w:sz w:val="24"/>
    </w:rPr>
  </w:style>
  <w:style w:type="character" w:styleId="Strong">
    <w:name w:val="Strong"/>
    <w:basedOn w:val="DefaultParagraphFont"/>
    <w:uiPriority w:val="99"/>
    <w:qFormat/>
    <w:locked/>
    <w:rsid w:val="00AB305B"/>
    <w:rPr>
      <w:rFonts w:cs="Times New Roman"/>
      <w:b/>
      <w:bCs/>
    </w:rPr>
  </w:style>
  <w:style w:type="character" w:styleId="FollowedHyperlink">
    <w:name w:val="FollowedHyperlink"/>
    <w:basedOn w:val="DefaultParagraphFont"/>
    <w:uiPriority w:val="99"/>
    <w:rsid w:val="00AB305B"/>
    <w:rPr>
      <w:rFonts w:cs="Times New Roman"/>
      <w:color w:val="353535"/>
      <w:u w:val="none"/>
    </w:rPr>
  </w:style>
  <w:style w:type="character" w:styleId="Emphasis">
    <w:name w:val="Emphasis"/>
    <w:basedOn w:val="DefaultParagraphFont"/>
    <w:uiPriority w:val="99"/>
    <w:qFormat/>
    <w:rsid w:val="00AB305B"/>
    <w:rPr>
      <w:rFonts w:cs="Times New Roman"/>
      <w:i/>
    </w:rPr>
  </w:style>
  <w:style w:type="character" w:styleId="Hyperlink">
    <w:name w:val="Hyperlink"/>
    <w:basedOn w:val="DefaultParagraphFont"/>
    <w:uiPriority w:val="99"/>
    <w:rsid w:val="00AB305B"/>
    <w:rPr>
      <w:rFonts w:cs="Times New Roman"/>
      <w:color w:val="353535"/>
      <w:u w:val="none"/>
    </w:rPr>
  </w:style>
  <w:style w:type="character" w:customStyle="1" w:styleId="more">
    <w:name w:val="more"/>
    <w:basedOn w:val="DefaultParagraphFont"/>
    <w:uiPriority w:val="99"/>
    <w:rsid w:val="00AB305B"/>
    <w:rPr>
      <w:rFonts w:cs="Times New Roman"/>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1458</Words>
  <Characters>8313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关于深化科技体制机制改革</dc:title>
  <dc:subject/>
  <dc:creator>君君1371620396</dc:creator>
  <cp:keywords/>
  <dc:description/>
  <cp:lastModifiedBy>User</cp:lastModifiedBy>
  <cp:revision>30</cp:revision>
  <dcterms:created xsi:type="dcterms:W3CDTF">2018-09-27T02:14:00Z</dcterms:created>
  <dcterms:modified xsi:type="dcterms:W3CDTF">2018-09-30T07:09:00Z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